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114</w:t>
      </w:r>
    </w:p>
    <w:p>
      <w:r>
        <w:t>Bundesgericht (BGE), 2014-03-13, DE</w:t>
      </w:r>
    </w:p>
    <w:p>
      <w:r>
        <w:rPr>
          <w:b/>
        </w:rPr>
        <w:t xml:space="preserve">Quelle: </w:t>
      </w:r>
      <w:r>
        <w:t>https://mcp.opencaselaw.ch/entscheid/bge_BGE_140_I_114</w:t>
      </w:r>
    </w:p>
    <w:p>
      <w:r>
        <w:t>FR: ATF 140 I 114</w:t>
      </w:r>
    </w:p>
    <w:p>
      <w:r>
        <w:t>IT: DTF 140 I 114</w:t>
      </w:r>
    </w:p>
    <w:p>
      <w:pPr>
        <w:pStyle w:val="Heading2"/>
      </w:pPr>
      <w:r>
        <w:t>Regeste</w:t>
      </w:r>
    </w:p>
    <w:p>
      <w:r>
        <w:t>Regeste Art. 127 Abs. 2 und 3 BV; Art. 12 Abs. 1 und 4, Art. 24 Abs. 1, Art. 25 Abs. 2 und Art. 67 StHG; interkantonales Unternehmen mit operativem Verlust und ausserkantonalem Grundstückgewinn, wobei der Grundstückkanton dem monistischen, der Sitzkanton dem dualistischen Besteuerungssystem folgt. Einschränkung der harmonisierungsrechtlichen Wahlfreiheit hinsichtlich des Besteuerungssystems, da doppelbesteuerungsrechtlich vergleichbare Verhältnisse herbeizuführen sind. Deshalb und aufgrund des Prinzips der Massgeblichkeit der Handelsbilanz Berücksichtigung des gesamten Wertzuwachsgewinns am Hauptsteuerdomizil. Kein verbleibender Raum für kantonale Ersatzwerte gegenüber den tatsächlichen Gestehungskosten (E. 2.1 und 3.3). Pflicht zur definitiven Übernahme des Betriebsverlusts durch den Grundstückkanton mit Grundstückgewinn (E. 2.3). Bei Nullveranlagung entfalten Bestand und Höhe des Verlustes keine Rechtskraft; insoweit kein Rechtsschutzinteresse zur Anfechtung der Verfügung (E. 2.4).</w:t>
      </w:r>
    </w:p>
    <w:p>
      <w:r>
        <w:t>Regeste Art. 127 al. 2 et 3 Cst.; art. 12 al. 1 et 4, art. 24 al. 1, art. 25 al. 2 et art. 67 LHID; entreprise intercantonle avec une perte d'exploitation et un gain immobilier hors canton, dans l'hypothèse où le canton de lieu de situation de l'immeuble connaît un système d'imposition moniste alors que le canton du siège connaît un système dualiste. Limitation de la liberté de choix du système d'imposition accordée aux cantons par la loi sur l'harmonisation fiscale afin de tenir compte de la nécessité en double imposition intercantonale d'avoir des conditions comparables. C'est pourquoi et en raison du principe de l'autorité du bilan commercial, il faut prendre en compte l'intégralité du bénéfice provenant de la plus-value au domicile fiscal principal. Il ne reste aucune place pour des valeurs de remplacement cantonales par rapport aux frais d'investissement effectifs (consid. 2.1 et 3.3). Obligation de prendre définitivement en charge la perte d'exploitation par le canton de lieu de situation de l'immeuble où est réalisé le bénéfice immobilier (consid. 2.3). En cas de taxation zéro, l'existence et le montant de la perte ne bénéficient pas de la force de chose jugée; par conséquent pas d'intérêt juridique à attaquer la décision (consid. 2.4).</w:t>
      </w:r>
    </w:p>
    <w:p>
      <w:r>
        <w:t>Regesto Art. 127 cpv. 2 e 3 Cost.; art. 12 cpv. 1 e 4, art. 24 cpv. 1, art. 25 cpv. 2 e art. 67 LAID; impresa intercantonale con una perdita d'esercizio e un utile immobiliare fuori cantone, quando il Cantone in cui si trova l'immobile applica il sistema monistico e il Cantone di sede quello dualistico. Limitazione della libertà di scelta, secondo il diritto armonizzato, del sistema d'imposizione, dato che dal profilo della doppia imposizione devono sussistere delle condizioni paragonabili. Per questo motivo e in virtù della rilevanza del bilancio commerciale, l'integralità dell'utile sull'incremento di valore dev'essere preso in considerazione al domicilio fiscale principale. Non rimane più alcun spazio per dei valori di sostituzione cantonali rispetto agli effettivi costi d'investimento (consid. 2.1 e 3.3). Obbligo di assumere definitivamente la perdita d'esercizio da parte del Cantone di situazione dell'immobile ove è stato realizzato l'utile immobiliare (consid. 2.3). Nel caso di una tassazione zero, l'esistenza e l'ammontare della perdita non acquisiscono forza di cosa giudicata; non sussiste pertanto alcun interesse giuridico ad impugnare la decisione (consid. 2.4).</w:t>
      </w:r>
    </w:p>
    <w:p>
      <w:pPr>
        <w:pStyle w:val="Heading2"/>
      </w:pPr>
      <w:r>
        <w:t>Erwägungen</w:t>
      </w:r>
    </w:p>
    <w:p>
      <w:r>
        <w:rPr>
          <w:b/>
        </w:rPr>
        <w:t>E. 2.1</w:t>
      </w:r>
    </w:p>
    <w:p>
      <w:r>
        <w:t>Von Harmonisierungsrechts wegen sind die Kantone frei, ob sie realisierte Wertzuwachsgewinne auf Grundstücken des Geschäftsvermögens mit der allgemeinen Einkommens- und Gewinnsteuer (dualistisches System gemäss Art. 12 Abs. 1 des Bundesgesetzes vom 14. Dezember 1990 über die Harmonisierung der direkten Steuern der Kantone und Gemeinden [StHG; SR 642.14]) oder aber mit der besonderen Grundstückgewinnsteuer erfassen wollen (monistisches System im Sinne von Art. 12 Abs. 4 StHG ; BGE 139 II 373 E. 4.2 S. 382). Von Doppelbesteuerungsrechts wegen ist die Wahlfreiheit bzw. die konkrete Handhabung der gewählten Methode freilich insofern eingeschränkt, als der Systementscheid eines Kantons sich nicht zu Ungunsten eines anderen Kantons oder der BGE 140 I 114 S. 117 steuerpflichtigen Person, die in mehreren Kantonen steuerpflichtig ist, auswirken darf (wiederum BGE 139 II 373 E. 4.2 S. 382; BGE 131 I 249 E. 6.3 S. 261; so schon BGE 92 I 198 E. 3b S. 200). Trifft in der interkantonalen Steuerausscheidung über Einkommen und Vermögen bzw. Gewinn und Kapital ein Kanton mit monistischem auf einen Kanton mit dualistischem System, müssen zwecks Herbeiführung vergleichbarer Verhältnisse alle Wertzuwachsgewinne in vollem Umfang in die Steuerausscheidung einbezogen werden (auch dazu BGE 139 II 373 E. 4.2 S. 382).</w:t>
      </w:r>
    </w:p>
    <w:p>
      <w:r>
        <w:rPr>
          <w:b/>
        </w:rPr>
        <w:t>E. 2.2.1</w:t>
      </w:r>
    </w:p>
    <w:p>
      <w:r>
        <w:t>Die politischen Gemeinden des Kantons Zürich erheben eine Grundstückgewinnsteuer auf den Gewinnen, die sich bei Handänderungen an Grundstücken oder Anteilen von solchen ergeben (§ 205 i.V.m. § 216 Abs. 1 des Steuergesetzes des Kantons Zürich vom 8. Juni 1997 [StG/ZH; LS 631.1]). Die Steuer fällt ungeachtet dessen an, ob es sich um Privat- oder Geschäftsvermögen handelt ( monistisches System; BGE 139 II 373 E. 3.5 S. 380). Im Anschluss an Art. 12 Abs. 1 StHG ("Ersatzwert") und für den Fall, dass die massgebende Handänderung mehr als zwanzig Jahre zurückliegt, bestimmt § 220 Abs. 2 StG /ZH, dass die steuerpflichtige Person als Gestehungskosten den Verkehrswert des Grundstücks in Anschlag bringen darf, der ihm zwanzig Jahre zuvor zukam (sog. "Verkehrswert vor zwanzig Jahren"; Urteil 2C_705/2011 vom 26. April 2012 E. 4.3.3 und 4.3.5, in: ASA 82 S. 163, StE 2012 B 44.12.3 Nr. 6, StR 67/2012 S. 522). Die Verrechnung von Geschäftsverlusten mit dem Grundstückgewinn ist dem Wesen der Grundstückgewinnsteuer zürcherischer Ausprägung grundsätzlich fremd ( BGE 139 II 373 E. 3.5 S. 380).</w:t>
      </w:r>
    </w:p>
    <w:p>
      <w:r>
        <w:rPr>
          <w:b/>
        </w:rPr>
        <w:t>E. 2.2.2</w:t>
      </w:r>
    </w:p>
    <w:p>
      <w:r>
        <w:t>Der Kanton Graubünden erhebt ebenso eine Grundstückgewinnsteuer. Steuersubjekt sind hier allerdings nur die natürlichen und die steuerbefreiten juristischen Personen (Art. 1 lit. a des Steuergesetzes vom 8. Juni 1986 für den Kanton Graubünden [StG/GR; BR 720.000]). Steuerobjekt bilden hauptsächlich die Gewinne aus der Veräusserung von Grundstücken des Privatvermögens ( Art. 41 Abs. 1 lit. a StG /GR; dualistisches System). Im Übrigen erfasst der Kanton Graubünden Grundstückgewinne juristischer Personen mit der Gewinnsteuer ( Art. 79 Abs. 1 StG /GR).</w:t>
      </w:r>
    </w:p>
    <w:p>
      <w:r>
        <w:rPr>
          <w:b/>
        </w:rPr>
        <w:t>E. 2.3.1</w:t>
      </w:r>
    </w:p>
    <w:p>
      <w:r>
        <w:t>Ein Verstoss gegen das Verbot der interkantonalen Doppelbesteuerung im Sinne von Art. 127 Abs. 3 BV liegt vor, wenn ein BGE 140 I 114 S. 118 Steuersubjekt von zwei oder mehreren Kantonen (Steuerhoheiten) für das gleiche Steuerobjekt und dieselbe Steuerperiode zur Besteuerung herangezogen wird (aktuelle Doppelbesteuerung) oder wenn ein Kanton in Verletzung der geltenden Kollisionsnormen seine Steuerhoheit überschreitet und eine Steuer erhebt, die einem anderen Kanton zusteht (virtuelle Doppelbesteuerung). Ausserdem darf ein Kanton ein Steuersubjekt grundsätzlich nicht deshalb stärker belasten, weil es nicht im vollen Umfang seiner Steuerhoheit untersteht, sondern zufolge seiner territorialen Beziehungen auch in einem anderen Kanton steuerpflichtig ist (Schlechterstellungsverbot; BGE 138 I 297 E. 3.1 S. 300 f.; Urteile 2C_243/2011 vom 1. Mai 2013 E. 1.3, nicht publ. in: BGE 139 II 373 , aber in: StE 2013 A 24.43.1 Nr. 23, StR 68/2013 S. 636; 2C_708/2012 vom 21. Dezember 2012 E. 2.1, nicht publ. in: BGE 139 I 64 , aber in: StE 2013 A 24.44.1 Nr. 3, StR 68/2013 S. 212).</w:t>
      </w:r>
    </w:p>
    <w:p>
      <w:r>
        <w:rPr>
          <w:b/>
        </w:rPr>
        <w:t>E. 2.3.2</w:t>
      </w:r>
    </w:p>
    <w:p>
      <w:r>
        <w:t>Mit Rücksicht auf das Gebot der Besteuerung nach der wirtschaftlichen Leistungsfähigkeit ( Art. 127 Abs. 2 BV ) und das Verbot der interkantonalen Doppelbesteuerung ( Art. 127 Abs. 3 BV ; zur doppelten Anspruchsgrundlage BGE 137 I 145 E. 4.3 S. 151) muss der Grundstückkanton einen Betriebsverlust, den eine interkantonale Unternehmung (einschliesslich Versicherungs- und Immobiliengesellschaften) bzw. ein Liegenschaftenhändler oder ein Generalbauunternehmen im Sitzkanton und/oder einem Betriebsstättekanton erleidet, auf den ihm objektmässig zustehenden Wertzuwachsgewinn aus der Veräusserung von Betriebsliegenschaften anrechnen ( BGE 138 I 297 E. 4.2 S. 303; BGE 131 I 249 E. 4 S. 254, E. 5.3 S. 259 f., E. 6.3 S. 261; zum Ganzen XAVIER OBERSON, Droit fiscal suisse, 4. Aufl. 2012, § 21 N. 46; OERTLI/ZIGERLIG, in: Interkantonales Steuerrecht, in: Kommentar zum Schweizerischen Steuerrecht, Bd. III/1, Zweifel/Beusch/Mäusli-Allenspach [Hrsg.], 2011, § 33 N. 57 f.; MARKUS REICH, Steuerrecht, 2. Aufl. 2012, § 25 N. 69 f.; PETER LOCHER, Einführung in das interkantonale Steuerrecht, 3. Aufl. 2009, S. 71 f. und 110 f.). Keine Rolle spielt, ob der Grundstückkanton dem dualistischen oder dem monistischen System folgt ( BGE 131 I 249 E. 5.3 S. 259). Die Abschreibungskomponente ("Buchgewinn") ist in allen Fällen in das nach Quoten auszuscheidende Betriebsergebnis aufzunehmen ( BGE 131 I 249 E. 4.1 S. 254; vgl. auch BGE 138 I 297 E. 4.1 S. 302).</w:t>
      </w:r>
    </w:p>
    <w:p>
      <w:r>
        <w:rPr>
          <w:b/>
        </w:rPr>
        <w:t>E. 2.3.3</w:t>
      </w:r>
    </w:p>
    <w:p>
      <w:r>
        <w:t>Erst der nach der Verlustanrechnung verbleibende Grundstückgewinn ist dem Grundstückkanton zur alleinigen Besteuerung BGE 140 I 114 S. 119 zuzuweisen. Ist nicht nur das Teilergebnis einer einzelnen Betriebsstätte ("Teilverlust"), sondern das periodenbezogene Gesamtergebnis eines Unternehmens negativ, zum Beispiel aufgrund gewichtiger Vorjahresverluste, liegt ein "Gesamtverlust" vor (vgl. RENÉ MATTEOTTI, in: Interkantonales Steuerrecht, a.a.O., § 34 N. 19; DANIEL DE VRIES REILINGH, La double imposition intercantonale, 2. Aufl. 2013, N. 973). In die Ermittlung des Gesamt- oder Teilverlusts einer Steuerperiode für die interkantonale Steuerausscheidung einzubeziehen sind in jedem Fall der Verlust des Laufjahrs (d.h. des Steuerjahrs) sowie die noch nicht verrechneten Vorjahresverluste.</w:t>
      </w:r>
    </w:p>
    <w:p>
      <w:r>
        <w:rPr>
          <w:b/>
        </w:rPr>
        <w:t>E. 2.3.4</w:t>
      </w:r>
    </w:p>
    <w:p>
      <w:r>
        <w:t>Ebenso wie die Verlustverrechnung am Hauptsteuerdomizil ist auch die Verlustübernahme am Nebensteuerdomizil definitiver Natur. In einer späteren Steuerperiode mit insgesamt positivem Ergebnis kann darauf (auch) am Nebensteuerdomizil nicht zurückgekommen werden (vgl. schon Urteil 2C_689/2010 vom 4. April 2011 E. 4.3). Mit der Pflicht zur Verlustübernahme soll vermieden werden, dass sich Ausscheidungsverluste ergeben ("pertes de répartition"; BGE 138 I 297 E. 4.2 S. 303; BGE 131 I 249 E. 6.3 S. 261). Das gleiche Vorgehen greift bei Gewinnungskosten auf Grundstücken im Privatvermögen ( BGE 138 I 297 E. 4.2 S. 303; BGE 131 I 285 E. 4.1 S. 290) und bei Kapitalanlageliegenschaften in reinen Grundstückkantonen, d. h. Kantonen ohne Betriebsstätten ( BGE 139 II 373 E. 4.2 S. 380 f.; BGE 138 I 297 E. 4.1 S. 302, E. 4.2 S. 303; BGE 132 I 220 E. 5 S. 227; vgl. auch das Kreisschreiben Nr. 27 vom 15. März 2007 der Schweizerischen Steuerkonferenz ["Die Vermeidung von Ausscheidungsverlusten"]).</w:t>
      </w:r>
    </w:p>
    <w:p>
      <w:r>
        <w:rPr>
          <w:b/>
        </w:rPr>
        <w:t>E. 2.4.1</w:t>
      </w:r>
    </w:p>
    <w:p>
      <w:r>
        <w:t>Vom Reingewinn der Steuerperiode einer juristischen Person werden im harmonisierten Steuerrecht die Verluste aus den sieben der Steuerperiode vorangegangenen Geschäftsjahren abgezogen, soweit sie bei der Berechnung des steuerbaren Reingewinns dieser Jahre nicht berücksichtigt werden konnten ( Art. 67 DBG [SR 642. 11]; Art. 25 Abs. 2 StHG ). Ergibt sich aufgrund der Verlustverrechnung eine Nullveranlagung, fehlt es der steuerpflichtigen Person in der Folge an einem Feststellungs- oder einem andersartigen Rechtsschutzinteresse, das sie zur Anfechtung des Entscheids berechtigen könnte (Urteile 2C_973/2012 / 2C_974/2012 vom 4. Oktober 2013 E. 4.2, in: ASA 82 S. 308; 2C_91/2012 vom 17. August 2012 E. 1.3.3, in: StR 68/2013 S. 158; 2C_645/2011 vom 12. März 2012 E. 3.4, BGE 140 I 114 S. 120 in: RDAF 2012 II S. 266, StR 67/2012 S. 436, StE 2012 B 72.19 Nr. 15). In einem Fall wie dem vorliegenden ist die Höhe des für die Nachfolgeperiode massgebenden verbleibenden Verlustvortrags folglich in der Nachfolgeperiode zu prüfen (Urteil 2C_973/2012 / 2C_974/2012 vom 4. Oktober 2013 E. 4.2).</w:t>
      </w:r>
    </w:p>
    <w:p>
      <w:r>
        <w:rPr>
          <w:b/>
        </w:rPr>
        <w:t>E. 2.4.2</w:t>
      </w:r>
    </w:p>
    <w:p>
      <w:r>
        <w:t>Der formellen und materiellen Rechtskraft einer Verfügung zugänglich ist zwar die Entscheidformel (das Dispositiv), nicht aber die Sachverhaltsfeststellungen oder die Erwägungen zur Rechtslage (die Motive). Aus diesem Grund kann nur das Dispositiv Bindungswirkung entfalten (Urteil 8C_821/2012 vom 3. Juli 2013 E. 3.2; BGE 121 III 474 E. 4a S. 478; BGE 115 II 187 E. 3b S. 191), sodass auch nur das Dispositiv anfechtbar ist (Urteile 2C_1174/2012 vom 16. August 2013 E. 3.3.2, in: ASA 82 S. 146; 2C_423/2012 vom 9. Dezember 2012 E. 1.2; 9C_58/2012 vom 8. Juni 2012 E. 4.2, nicht publ. in: BGE 138 V 298 ; BGE 120 V 233 E. 1a S. 237).</w:t>
      </w:r>
    </w:p>
    <w:p>
      <w:r>
        <w:rPr>
          <w:b/>
        </w:rPr>
        <w:t>E. 2.4.3</w:t>
      </w:r>
    </w:p>
    <w:p>
      <w:r>
        <w:t>Im Steuerrecht bedeutet dies, dass (nur) die Steuerfaktoren an der Rechtskraft teilhaben (Urteil 2A.465/2006 vom 19. Januar 2007 E. 4.2.2, in: RDAF 2007 II 263, StE 2007 B 72.11 Nr. 15, StR 62/2007 S. 518). Die Erwägungen, die zum Dispositiv führen, haben lediglich die Bedeutung von Motiven. Die tatsächlichen und die rechtlichen Verhältnisse, auf denen eine rechtskräftige Veranlagung beruht, können an sich in einer späteren Periode abweichend beurteilt werden (Urteil 2A.370/2004 vom 11. November 2005 E. 4.2, in: ASA 77 S. 257, RDAF 2006 II 228; BGE 88 I 240 E. 2 S. 244). Definitive Veranlagungsverfügungen entfalten Wirkungen, insbesondere Rechtskraftwirkungen, in zeitlicher Hinsicht zudem nur bezüglich der Steuerperiode, für die sie ergangen sind (Urteile 2C_309/2013 / 2C_310/2013 vom 18. September 2013 E. 3.10; 2C_1174/2012 vom 16. August 2013 E. 3.3.2 mit Hinweisen).</w:t>
      </w:r>
    </w:p>
    <w:p>
      <w:r>
        <w:rPr>
          <w:b/>
        </w:rPr>
        <w:t>E. 2.4.4</w:t>
      </w:r>
    </w:p>
    <w:p>
      <w:r>
        <w:t>Wird eine juristische Person mit einem Reingewinn von null Franken veranlagt, ist damit nur entschieden, dass sie keinen steuerbaren Gewinn erzielt und dementsprechend für das betreffende Jahr keine Steuern zu bezahlen hat. Die Höhe des einer solchen Veranlagungsverfügung zugrunde liegenden Verlusts ist hingegen nicht rechtskräftig festgesetzt worden. Die Steuerbehörden sind daher nach ständiger Praxis befugt, die Höhe der in den Vorjahren geltend gemachten Verluste trotz der Rechtskraft der entsprechenden Veranlagungsverfügung zu überprüfen, wenn sie im Rahmen von Art. 67 DBG über den Abzug von solchen Verlusten zu befinden haben BGE 140 I 114 S. 121 (Urteile 2A.775/2006 vom 18. Juni 2007 E. 1.1; 2A.192/2000 vom 9. Mai 2001 E. 1, in: RDAF 2001 II S. 261).</w:t>
      </w:r>
    </w:p>
    <w:p>
      <w:r>
        <w:rPr>
          <w:b/>
        </w:rPr>
        <w:t>E. 3.1</w:t>
      </w:r>
    </w:p>
    <w:p>
      <w:r>
        <w:t>Anfechtungsobjekt ist (nur) die Veranlagungsverfügung 2008 des Kantons Graubünden. Der Antrag der Steuerpflichtigen richtet sich aber auf die Erhöhung des per 31. Dezember 2007 wirksamen steuerlichen Verlusts. Sie beruft sich darauf, dass es im Kanton Zürich wegen des Ersatzwertes ("Verkehrswert vor zwanzig Jahren") zu einer Nullveranlagung gekommen wäre. Die Steuerpflichtige erklärt, es sei mit dem Schlechterstellungsverbot nicht zu vereinbaren und stelle eine verbotene virtuelle Doppelbesteuerung dar, wenn der Vorgang einzig aufgrund der interkantonalen Steuerausscheidung dennoch besteuert werde.</w:t>
      </w:r>
    </w:p>
    <w:p>
      <w:r>
        <w:rPr>
          <w:b/>
        </w:rPr>
        <w:t>E. 3.2.1</w:t>
      </w:r>
    </w:p>
    <w:p>
      <w:r>
        <w:t>Nach den für das Bundesgericht verbindlichen Feststellungen der Vorinstanz ( Art. 105 Abs. 1 BGG ) wies die Steuerpflichtige in ihrem Abschluss 2007 im Zusammenhang mit der Veräusserung des Terrains einen handelsrechtlichen Gewinn von Fr. a aus. Er setzte sich zusammen aus einem Buchgewinn von Fr. b und einem Wertzuwachsgewinn von Fr. c. Weiter hat das Bundesgericht davon auszugehen, dass am sekundären Steuerdomizil (Kanton Zürich) aufgrund des herangezogenen "Verkehrswerts vor zwanzig Jahren" kein Grundstückgewinn anfiel, während derselbe Vorgang am Hauptsteuerdomizil (Kanton Graubünden) im Jahr 2007 entsprechend dem Handelsrecht vollumfänglich als Gewinn erfasst wurde. Demzufolge konnte in der Folgeperiode 2008 lediglich noch ein vortragbarer Verlust von rund d Mio. Fr. beansprucht werden. Ebenso steht fest, dass der Buchgewinn in dem nach Quoten auszuscheidenden Betriebsergebnis enthalten ist (was nichts daran änderte, dass ein Betriebsverlust eintrat).</w:t>
      </w:r>
    </w:p>
    <w:p>
      <w:r>
        <w:rPr>
          <w:b/>
        </w:rPr>
        <w:t>E. 3.2.2</w:t>
      </w:r>
    </w:p>
    <w:p>
      <w:r>
        <w:t>Die Frage der Höhe des vortragbaren Verlusts 2007 war im Steuerjahr 2007 aufgrund der eingetretenen Nullveranlagung keiner Überprüfung zugänglich. Die Veranlagungsverfügung vom 23. Mai 2011 (bzw. deren Dispositiv) ist infolgedessen in Rechtskraft erwachsen. Nicht von der Rechtskraft erfasst ist die Höhe des per 31. Dezember 2007 noch bestehenden Verlustvortrags. Aus diesem Grund kann die Frage im streitbetroffenen Steuerjahr 2008 aufgebracht werden. BGE 140 I 114 S. 122</w:t>
      </w:r>
    </w:p>
    <w:p>
      <w:r>
        <w:rPr>
          <w:b/>
        </w:rPr>
        <w:t>E. 3.3.1</w:t>
      </w:r>
    </w:p>
    <w:p>
      <w:r>
        <w:t>Die Steuerpflichtige ist operativ tätig; sie unterhält ausserkantonale Betriebsstätten, weshalb sie steuerrechtlich ein interkantonales Unternehmen darstellt. Weiter ist für das streitbetroffene Grundstückgeschäft von einem Erlös von e Mio. Fr. und handelsrechtlichen Gestehungskosten von rund f Mio. Fr. auszugehen. Per saldo führte dies zu einem handelsrechtlichen Wertzuwachsgewinn von ca. g Mio. Fr., nebst einem handelsrechtlichen Buchgewinn von Fr. h. Der Kanton Graubünden, der dem dualistischen System folgt, hat auf der innerkantonalen Ebene den dergestalt ermittelten Wertzuwachsgewinn vollumfänglich in die Ermittlung des steuerbaren Reingewinns (bzw. des satzbestimmenden Gewinns) einbezogen. Dieses Vorgehen, das im Übrigen auch auf Ebene der Bundessteuer Anwendung findet ( Art. 58 Abs. 1 DBG ), entspricht den harmonisierungsrechtlichen Vorgaben (Art. 24 Abs. 1 i.V.m. Art. 12 Abs. 1 StHG bzw. Art. 79 Abs. 1 i.V.m. Art. 41 Abs. 1 lit. a StG /GR e contrario). Der Kanton Graubünden hat damit dem Prinzip der Massgeblichkeit der Handelsbilanz entsprochen ("le principe de l'autorité du bilan commercial ou de déterminance"; BGE 137 II 353 E. 6.2 S. 360 f.; BGE 136 II 88 E. 3.1 S. 92; BGE 132 I 175 E. 2.2 S. 177 f.; BGE 119 Ib 111 E. 2c S. 115). Nicht bestritten und deswegen nicht weiter zu prüfen sind der in der Steuerperiode 2007 eingetretene Betriebsverlust (rund i Mio. Fr.) und der aus Vorperioden stammende Verlust von ca. j Mio. Fr. Innerkantonal ergab sich auf diese Weise ein Gesamtverlust von gerundet k Mio. Fr.</w:t>
      </w:r>
    </w:p>
    <w:p>
      <w:r>
        <w:rPr>
          <w:b/>
        </w:rPr>
        <w:t>E. 3.3.2</w:t>
      </w:r>
    </w:p>
    <w:p>
      <w:r>
        <w:t>Ebenso bundesrechtskonform zog die Steuerverwaltung des Kantons Graubünden für die Zwecke der interkantonalen Steuerausscheidung einen Gesamtverlust von rund l Mio. Fr. heran, wenngleich am Ort der gelegenen Sache (Zürich) ein Grundstückgewinn von null Franken entstanden war. Zum einen führte sie auf diese Weise vergleichbare Verhältnisse herbei, nachdem die beiden Kantone unterschiedlichen Systemen folgen. Sie tat dies, indem sie in einer ersten Phase alle Wertzuwachsgewinne in vollem Umfang in die Steuerausscheidung einbezog. Zum andern berücksichtigte sie den Umstand, dass (auch) der Grundstückkanton einen etwaigen Betriebsverlust mitzutragen hat, konkret die eigene Quote nebst den Verlustanteilen des Hauptsteuerdomizils und der sekundären Steuerdomizile (Verlust des Laufjahrs nebst den noch nicht verrechneten Vorjahresverlusten). BGE 140 I 114 S. 123</w:t>
      </w:r>
    </w:p>
    <w:p>
      <w:r>
        <w:rPr>
          <w:b/>
        </w:rPr>
        <w:t>E. 3.3.3</w:t>
      </w:r>
    </w:p>
    <w:p>
      <w:r>
        <w:t>Aus diesem Grund kann der Grundstückkanton - in einer zweiten Phase - einzig den noch verbleibenden Grundstückgewinn beanspruchen (E. 2.3.3 hiervor). Vor diesem Hintergrund hat der (innerkantonal) im Kanton Zürich massgebende "Verkehrswert vor zwanzig Jahren" doppelbesteuerungsrechtlich zurückzutreten. Gemäss BGE 131 I 249 wäre eine Rückübertragung des Grundstückgewinns an den Kanton Zürich lediglich dann in Frage gekommen, wenn der Betriebsverlust (inkl. Vorjahresverluste) den Grundstückgewinn nur teilweise konsumiert hätte (sodass per saldo ein geschmälerter Grundstückgewinn vorgelegen hätte). Dies war aber nicht der Fall. Betriebsverlust 2007 und noch nicht verrechnete Vorjahresverluste haben den handelsrechtlichen Grundstückgewinn vollumfänglich getilgt. Infolgedessen hat es zu keiner Rückübertragung eines (Teil-)Gewinns an den Grundstückkanton kommen können.</w:t>
      </w:r>
    </w:p>
    <w:p>
      <w:r>
        <w:rPr>
          <w:b/>
        </w:rPr>
        <w:t>E. 3.3.4</w:t>
      </w:r>
    </w:p>
    <w:p>
      <w:r>
        <w:t>Bundesrechtskonform hat schon die Stadt C./ZH bei ihrer Ermittlung des steuerbaren Grundstückgewinns auf eine Nullveranlagung geschlossen. Eine solche ergab sich zwar bereits aufgrund des kantonalen Rechts, doch hielt die Behörde in ihrem Entscheid fest: "Der Verlust wird anerkannt. Die Höhe des Verlustes wurde nicht geprüft." Die Vorinstanz schliesst daraus, dies zeige, "dass über die Verlustverrechnung noch nicht definitiv entschieden wurde". Die Folgerung, die Verlustverrechnung sei einstweilen noch nicht abschliessend geregelt worden, entspringt der von der Vorinstanz getroffenen Beweiswürdigung. Die Beweiswürdigung, selbst wenn sie auf Indizien beruht, und die sich daraus ergebenden tatsächlichen Schlussfolgerungen stellen Tatfragen dar ( BGE 133 V 477 E. 6.1 S. 485, BGE 133 V 504 E. 3.2 S. 507; BGE 132 V 393 E. 3.3 S. 399; Urteil 2C_353/2013 vom 23. Oktober 2013 E. 3.3 mit Hinweisen). Demzufolge kann das Bundesgericht die vorgenommene Beweiswürdigung lediglich unter dem beschränkten Gesichtswinkel der Willkür prüfen (nicht publ. E. 1.7). Angesichts dessen, dass (schon) innerkantonal eine Nullveranlagung eingetreten war, ist die Vorinstanz haltbar zum Schluss gekommen, der ergänzende Hinweis beziehe sich auf die interkantonale Steuerausscheidung. Dies ist jedenfalls nicht willkürlich. Dabei kann berücksichtigt werden, dass das Kantonale Steueramt Zürich sich in seiner Vernehmlassung dem Ergebnis (Nullveranlagung in beiden Kantonen) anschliesst.</w:t>
      </w:r>
    </w:p>
    <w:p>
      <w:r>
        <w:rPr>
          <w:b/>
        </w:rPr>
        <w:t>E. 3.4</w:t>
      </w:r>
    </w:p>
    <w:p>
      <w:r>
        <w:t>Zusammenfassend kann nicht mit Recht behauptet werden, die interkantonale Verlustübernahme führe zu einer virtuellen BGE 140 I 114 S. 124 Doppelbelastung oder einer Verletzung des Schlechterstellungsverbots (zu beidem Urteil 2C_708/2012 vom 21. Dezember 2012 E. 2.1, nicht publ. in: BGE 139 I 64 , aber in: StE 2013 A 24.44.1 Nr. 3, StR 68/ 2013 S. 212). Weder überschreitet der Kanton Graubünden in Verletzung der geltenden Kollisionsnormen seine Steuerhoheit und erhebt er dabei eine Steuer, die dem Kanton Zürich zusteht, noch wird die Steuerpflichtige im Kanton Graubünden deshalb stärker belastet, weil sie nicht im vollen Umfang seiner Steuerhoheit untersteht, sondern zufolge ihrer territorialen Beziehungen auch im Kanton Zürich steuerpflichtig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