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206</w:t>
      </w:r>
    </w:p>
    <w:p>
      <w:r>
        <w:t>Bundesgericht (BGE), 2014-09-17, FR</w:t>
      </w:r>
    </w:p>
    <w:p>
      <w:r>
        <w:rPr>
          <w:b/>
        </w:rPr>
        <w:t xml:space="preserve">Quelle: </w:t>
      </w:r>
      <w:r>
        <w:t>https://mcp.opencaselaw.ch/entscheid/bge_BGE_140_IV_206</w:t>
      </w:r>
    </w:p>
    <w:p>
      <w:r>
        <w:t>FR: ATF 140 IV 206</w:t>
      </w:r>
    </w:p>
    <w:p>
      <w:r>
        <w:t>IT: DTF 140 IV 206</w:t>
      </w:r>
    </w:p>
    <w:p>
      <w:pPr>
        <w:pStyle w:val="Heading2"/>
      </w:pPr>
      <w:r>
        <w:t>Regeste</w:t>
      </w:r>
    </w:p>
    <w:p>
      <w:r>
        <w:t>Regeste Art. 25 Abs. 2 und Art. 31 Abs. 1 ATSG; Art. 146 Abs. 1 StGB; Art. 31 Abs. 1 lit. d ELG; Verwirkung eines Anspruchs auf Rückforderung von Leistungen; längere Verjährungsfrist des Strafrechts. Eine Verletzung der Pflicht, wesentliche Änderungen in den für einen Leistungsanspruch massgebenden Verhältnissen zu melden, wird im Falle des Begehens durch Unterlassung nach den speziellen Strafbestimmungen in den Sozialversicherungsgesetzen geahndet (E. 6.3.2.2). Wird ein Informationsschreiben, welches an die Pflicht zur Mitteilung jeder Tatsachenänderung erinnert, nicht befolgt, so stellt dies keine Täuschung durch aktives Tun und demnach keinen Betrug im Sinne von Art. 146 Abs. 1 StGB dar (E. 6.4).</w:t>
      </w:r>
    </w:p>
    <w:p>
      <w:r>
        <w:t>Regeste Art. 25 al. 2 et art. 31 al. 1 LPGA; art. 146 al. 1 CP; art. 31 al. 1 let. d LPC; péremption d'une créance en restitution de prestations; délai de prescription de plus longue durée du droit pénal. La violation du devoir légal de communiquer toute modification importante des circonstances déterminantes susceptibles d'influencer le droit aux prestations est réprimée, en cas de comportement par omission, par les dispositions pénales spéciales des lois d'assurances sociales (consid. 6.3.2.2). Le fait de ne pas donner suite à une lettre d'information rappelant l'obligation de communiquer tout changement de circonstances ne constitue pas une tromperie par commission et, partant, une escroquerie au sens de l'art. 146 al. 1 CP (consid. 6.4).</w:t>
      </w:r>
    </w:p>
    <w:p>
      <w:r>
        <w:t>Regesto Art. 25 cpv. 2 e art. 31 cpv. 1 LPGA; art. 146 cpv. 1 CP; art. 31 cpv. 1 lett. d LPC; perenzione di una pretesa di restituzione di prestazioni; termine di prescrizione più lungo del diritto penale. La violazione dell'obbligo legale di comunicare ogni modifica importante di circostanze suscettibili d'influenzare il diritto alle prestazioni è punito, in caso di atto per omissione, con le disposizioni penali speciali relative alle leggi sulle assicurazioni sociali (consid. 6.3.2.2). Il fatto di non dare seguito a una lettera di informazioni, ricordando l'obbligo di comunicare ogni cambiamento di circostanze, non costituisce un inganno per commissione e pertanto una truffa ai sensi dell'art. 146 cpv. 1 CP (consid. 6.4).</w:t>
      </w:r>
    </w:p>
    <w:p>
      <w:pPr>
        <w:pStyle w:val="Heading2"/>
      </w:pPr>
      <w:r>
        <w:t>Erwägungen</w:t>
      </w:r>
    </w:p>
    <w:p>
      <w:r>
        <w:rPr>
          <w:b/>
        </w:rPr>
        <w:t>E. 6.1</w:t>
      </w:r>
    </w:p>
    <w:p>
      <w:r>
        <w:t>Aux termes de l' art. 25 al. 2 LPGA (RS 830.1),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w:t>
      </w:r>
    </w:p>
    <w:p>
      <w:r>
        <w:rPr>
          <w:b/>
        </w:rPr>
        <w:t>E. 6.2</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 art. 25 al. 2 LPGA est applicable dans le cas particulier. Pour que le délai de péremption plus long prévu par le droit pénal s'applique, il n'est pas nécessaire que l'auteur de l'infraction ait été condamné ( ATF 118 V 193 consid. 4a p. 197; voir également arrêt 8C_592/2007 du 20 août 2008 consid. 5.3 et les références).</w:t>
      </w:r>
    </w:p>
    <w:p>
      <w:r>
        <w:rPr>
          <w:b/>
        </w:rPr>
        <w:t>E. 6.3</w:t>
      </w:r>
    </w:p>
    <w:p>
      <w:r>
        <w:t>En matière de prestations complémentaires, ce sont principalement les infractions réprimées aux art. 146 CP (escroquerie) et 31 LPC (RS 831.30; manquement à l'obligation de communiquer) qui entrent en considération au titre d'infractions pouvant impliquer l'application d'un délai de péremption plus long.</w:t>
      </w:r>
    </w:p>
    <w:p>
      <w:r>
        <w:rPr>
          <w:b/>
        </w:rPr>
        <w:t>E. 6.3.1.1</w:t>
      </w:r>
    </w:p>
    <w:p>
      <w:r>
        <w:t>Conformément à l' art. 146 al. 1 CP , est puni d'une peine privative de liberté de cinq ans au plus ou d'une peine pécuniaire celui qui, dans le dessein de se procurer ou de procurer à un tiers un BGE 140 IV 206 S. 209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6.3.1.2</w:t>
      </w:r>
    </w:p>
    <w:p>
      <w:r>
        <w:t>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 ATF 140 IV 11 consid. 2.3.2 p. 14).</w:t>
      </w:r>
    </w:p>
    <w:p>
      <w:r>
        <w:rPr>
          <w:b/>
        </w:rPr>
        <w:t>E. 6.3.1.3</w:t>
      </w:r>
    </w:p>
    <w:p>
      <w:r>
        <w:t>L'assuré qui, en vertu de l' art. 31 LPGA ,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11 consid. 2.4.1 p. 15 et consid. 2.4.6 in fine p. 18; voir également arrêt 6B_791/2013 du 3 mars 2014 consid. 3.1.1; imprécis sur cette question, arrêt 9C_232/2013 du 13 décembre 2013 consid. 4.1.3).</w:t>
      </w:r>
    </w:p>
    <w:p>
      <w:r>
        <w:rPr>
          <w:b/>
        </w:rPr>
        <w:t>E. 6.3.1.4</w:t>
      </w:r>
    </w:p>
    <w:p>
      <w:r>
        <w:t>Malgré l'importance que revêt l'établissement des faits dans le cadre de litiges assécurologiques et le rôle que joue dans ce contexte le devoir - légal ou contractuel - de communiquer toute modification importante des circonstances déterminantes (cf. art. 31 al. 1 LPGA ) en tant qu'aspect de l'obligation de collaborer, ce devoir ne confère pas un statut juridique particulier au bénéficiaire qui le contraindrait à protéger d'une atteinte ou d'une mise en danger le BGE 140 IV 206 S. 210 patrimoine de l'assureur (public ou privé). C'est à l'assureur qu'il appartient en premier lieu de veiller à la sauvegarde de son patrimoine; cette obligation n'est pas transférée au bénéficiaire du fait de l'existence d'un devoir d'annoncer. La seule responsabilité qui incombe au bénéficiaire est de veiller à ne pas porter lui-même préjudice à l'assureur, ce qui a pour corollaire le devoir d'annoncer toute modification des circonstances déterminantes pour le droit aux prestations; la loi ne lui impose pas d'obligation plus étendue. L'obligation d'annoncer toute modification des circonstances déterminantes est l'expression du principe de la bonne foi entre administration et administré; les devoirs résultant de l'application de ce principe constitutionnel ne suffisent pas à fonder une position de garant de l'assuré à l'égard de l'assureur ( ATF 140 IV 11 consid. 2.4.5 p. 17 et les références).</w:t>
      </w:r>
    </w:p>
    <w:p>
      <w:r>
        <w:rPr>
          <w:b/>
        </w:rPr>
        <w:t>E. 6.3.2.1</w:t>
      </w:r>
    </w:p>
    <w:p>
      <w:r>
        <w:t>Conformément à l' art. 31 al. 1 let . d LPC, est puni, à moins qu'il ne s'agisse d'un crime ou d'un délit frappé d'une peine plus élevée par le code pénal, d'une peine pécuniaire n'excédant pas 180 jours-amende celui qui manque à son obligation de communiquer au sens de l' art. 31 al. 1 LPGA .</w:t>
      </w:r>
    </w:p>
    <w:p>
      <w:r>
        <w:rPr>
          <w:b/>
        </w:rPr>
        <w:t>E. 6.3.2.2</w:t>
      </w:r>
    </w:p>
    <w:p>
      <w:r>
        <w:t>Par le biais des dispositions pénales figurant dans les diverses lois d'assurances sociales (voir également l' art. 87 al. 5 LAVS ainsi que les art. 70 LAI , 25 LAPG [RS 834.1] et 23 de la loi fédérale du 24 mars 2006 sur les allocations familiales [LAFam;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oeuvre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 art. 31 LPGA à une escroquerie au sens de l' art. 146 CP . Certes, les dispositions pénales précitées réservent l'existence d'un crime ou d'un délit frappé d'une peine plus élevée. De telles infractions ne peuvent toutefois entrer en ligne de compte que dans la mesure où BGE 140 IV 206 S. 211 interviennent des circonstances qui dépassent la simple violation du devoir d'annoncer, sans quoi les dispositions pénales spéciales s'avéreraient superflues si on pouvait qualifier d'escroquerie une simple violation du devoir d'annoncer ( ATF 140 IV 11 consid. 2.4.6 p. 17).</w:t>
      </w:r>
    </w:p>
    <w:p>
      <w:r>
        <w:rPr>
          <w:b/>
        </w:rPr>
        <w:t>E. 6.4</w:t>
      </w:r>
    </w:p>
    <w:p>
      <w:r>
        <w:t>En l'espèce, la juridiction cantonale n'a mis en évidence aucun élément permettant d'admettre un comportement actif de tromperie de la part de l'intimé visant à cacher des informations pertinentes pour l'examen du droit aux prestations. A cet égard, le fait de ne pas donner suite à une lettre d'information standard rappelant, parmi d'autres renseignements, l'obligation de communiquer tout changement de circonstances ne saurait être interprété comme une tromperie par commission, dans la mesure où un tel document ne revêt pas le caractère d'une invitation explicite à faire état de sa situation patrimoniale. On soulignera d'ailleurs que lorsqu'il a été invité explicitement à préciser sa situation patrimoniale en 2012, l'intimé a spontanément fait état de l'acquisition d'un immeuble en République de C., ce qui plaide dans le sens de l'absence de tromperie ou d'astuce. Faute par ailleurs pour l'intimé d'avoir une position de garant à l'égard du service recourant, une omission punissable ne peut pas non plus lui être reprochée. Il suit de là que les faits reprochés à l'intimé consistant en la non déclaration de l'héritage perçu par son épouse et de l'acquisition commune d'un bien immobilier en République de C. n'étaient pas constitutifs d'une escroquerie au sens de l' art. 146 CP ; ils réalisaient en revanche les conditions objectives de l'infraction réprimée à l' art. 31 al. 1 let . d LPC.</w:t>
      </w:r>
    </w:p>
    <w:p>
      <w:r>
        <w:rPr>
          <w:b/>
        </w:rPr>
        <w:t>E. 6.5</w:t>
      </w:r>
    </w:p>
    <w:p>
      <w:r>
        <w:t>En tant que la juridiction cantonale a considéré que les conditions subjectives de l'infraction réprimées à l' art. 31 al. 1 let . d LPC n'étaient pas réalisées, son raisonnement viole le droit. On ne saurait en particulier la suivre lorsqu'elle affirme que les circonstances pouvaient prêter à confusion, dans la mesure où les différents documents remis à l'intimé ne semblaient viser que sa propre situation et non celle de son épouse. Elle perd en effet de vue que la lettre de la loi est claire à ce sujet: en vertu de l' art. 9 al. 2 LPC , les dépenses reconnues (au sens de l' art. 10 LPC ) et les revenus déterminants (au sens de l' art. 11 LPC ) des conjoints doivent être additionnés pour calculer le montant des prestations complémentaires. Qui plus est, compte tenu des informations demandées dans le formulaire de demande de prestations, lesquelles concernaient aussi bien sa situation personnelle que celles de son épouse ou de ses enfants, l'intimé ne pouvait ignorer l'importance que revêtait la communication de toute information d'ordre économique le concernant lui ou un membre de BGE 140 IV 206 S. 212 sa famille. Dans ces conditions, force est d'admettre que l'intimé était conscient qu'il retenait des informations qu'il avait l'obligation de transmettre au service recourant, commettant ainsi un acte par dol éventuel.</w:t>
      </w:r>
    </w:p>
    <w:p>
      <w:r>
        <w:rPr>
          <w:b/>
        </w:rPr>
        <w:t>E. 6.6</w:t>
      </w:r>
    </w:p>
    <w:p>
      <w:r>
        <w:t>Sur le vu de ce qui précède, il convient de constater que l'intimé réalise les conditions objectives et subjectives de l'infraction réprimée à l' art. 31 al. 1 let . d LPC; le délai de péremption de plus longue durée prévu par le droit pénal, soit en l'occurrence sept ans ( art. 97 CP ), est par conséquent applicable. Il s'avère ainsi que la demande en restitution, en tant qu'elle concerne les prestations complémentaires de droit fédéral, n'est pas périmée pour la période courant du 1 er mai 2005 au 30 juin 2006. Dans cette mesure, le recours en matière de droit public déposé par le service recourant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