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192</w:t>
      </w:r>
    </w:p>
    <w:p>
      <w:r>
        <w:t>Bundesgericht (BGE), 2014-09-25, DE</w:t>
      </w:r>
    </w:p>
    <w:p>
      <w:r>
        <w:rPr>
          <w:b/>
        </w:rPr>
        <w:t xml:space="preserve">Quelle: </w:t>
      </w:r>
      <w:r>
        <w:t>https://mcp.opencaselaw.ch/entscheid/bge_BGE_140_IV_192</w:t>
      </w:r>
    </w:p>
    <w:p>
      <w:r>
        <w:t>FR: ATF 140 IV 192</w:t>
      </w:r>
    </w:p>
    <w:p>
      <w:r>
        <w:t>IT: DTF 140 IV 192</w:t>
      </w:r>
    </w:p>
    <w:p>
      <w:pPr>
        <w:pStyle w:val="Heading2"/>
      </w:pPr>
      <w:r>
        <w:t>Regeste</w:t>
      </w:r>
    </w:p>
    <w:p>
      <w:r>
        <w:t>Regeste Art. 17 Abs. 1, Art. 352 ff. und 357 StPO; Verfahren vor den Übertretungsstrafbehörden. Werden Verfolgung und Beurteilung von Übertretungen nach Art. 17 Abs. 1 StPO Verwaltungsbehörden übertragen, richtet sich das Verfahren sinngemäss nach den Vorschriften über das Strafbefehlsverfahren (Art. 357 Abs. 2 StPO). Für abweichende oder ergänzende Verfahrensbestimmungen der Kantone verbleibt kein Raum. Die Einsprache gegen einen von der Übertretungsstrafbehörde erlassenen Strafbefehl ist bei der Übertretungsstrafbehörde einzureichen (Art. 354 Abs. 1 StPO). Eine kantonalrechtliche Bestimmung, wonach Strafverfügungen der Übertretungsstrafbehörde bei der Staatsanwaltschaft angefochten werden können, ist bundesrechtswidrig (E. 1.2 und 1.3). Die Staatsanwaltschaft, an welche die Einsprache von der Übertretungsstrafbehörde überwiesen wurde, war nicht befugt, über die Gültigkeit der Einsprache zu entscheiden. Dafür ist nach Art. 356 Abs. 2 StPO allein das erstinstanzliche Gericht zuständig (E. 1.4).</w:t>
      </w:r>
    </w:p>
    <w:p>
      <w:r>
        <w:t>Regeste Art. 17 al. 1, art. 352 ss et 357 CPP; procédure devant les autorités pénales compétentes en matière de contraventions. Lorsque des autorités administratives sont instituées en vue de la poursuite et du jugement de contraventions au sens de l'art. 17 al. 1 CPP, la procédure est régie par analogie par les dispositions sur l'ordonnance pénale (art. 357 al. 2 CPP). Les cantons ne peuvent prévoir de dispositions de procédure contraires ou complémentaires. L'opposition à une ordonnance pénale prononcée par l'autorité pénale compétente en matière de contraventions doit être adressée à cette autorité (art. 354 al. 1 CPP). Une disposition de droit cantonal, qui permettrait d'attaquer les décisions pénales de l'autorité pénale compétente en matière de contraventions auprès du ministère public, est contraire au droit fédéral (consid. 1.2 et 1.3). Le ministère public, à qui l'autorité pénale compétente en matière de contraventions transmet une opposition, n'est pas compétent pour statuer sur sa validité. Seul l'est, en vertu de l'art. 356 al. 2 CPP, le tribunal de première instance (consid. 1.4).</w:t>
      </w:r>
    </w:p>
    <w:p>
      <w:r>
        <w:t>Regesto Art. 17 cpv. 1, art. 352 segg. e 357 CPP; procedura dinanzi alle autorità penali delle contravvenzioni. Se il perseguimento e il giudizio delle contravvenzioni sono affidati ad autorità amministrative ai sensi dell'art. 17 cpv. 1 CPP, la procedura è retta per analogia dalle disposizioni concernenti il decreto d'accusa (art. 357 cpv. 2 CPP). Non v'è spazio per norme procedurali contrarie o complementari di diritto cantonale. L'opposizione al decreto di accusa emanato dall'autorità penale delle contravvenzioni dev'essere interposta all'autorità penale delle contravvenzioni (art. 354 cpv. 1 CPP). È lesiva del diritto federale una disposizione cantonale che permette di impugnare le decisioni penali dell'autorità penale delle contravvenzioni dinanzi al pubblico ministero (consid. 1.2 e 1.3). Il pubblico ministero non è autorizzato a statuire sulla validità dell'opposizione trasmessagli dall'autorità penale delle contravvenzioni. In virtù dell'art. 356 cpv. 2 CPP solo il tribunale di primo grado è competente in materia (consid. 1.4).</w:t>
      </w:r>
    </w:p>
    <w:p>
      <w:pPr>
        <w:pStyle w:val="Heading2"/>
      </w:pPr>
      <w:r>
        <w:t>Erwägungen</w:t>
      </w:r>
    </w:p>
    <w:p>
      <w:r>
        <w:rPr>
          <w:b/>
        </w:rPr>
        <w:t>E. 1.1</w:t>
      </w:r>
    </w:p>
    <w:p>
      <w:r>
        <w:t>Die Strafprozessordnung regelt die Verfolgung und Beurteilung der Straftaten nach Bundesrecht durch die Strafbehörden des Bundes und der Kantone ( Art. 1 Abs. 1 StPO ). Abweichende oder ergänzende Bestimmungen der Kantone sind nur so weit zulässig, als sie dazu ausdrücklich ermächtigt werden.</w:t>
      </w:r>
    </w:p>
    <w:p>
      <w:r>
        <w:rPr>
          <w:b/>
        </w:rPr>
        <w:t>E. 1.2</w:t>
      </w:r>
    </w:p>
    <w:p>
      <w:r>
        <w:t>Bund und Kantone können die Verfolgung und Beurteilung von Übertretungen Verwaltungsbehörden übertragen ( Art. 17 Abs. 1 StPO ). Nach Art. 27 Abs. 1 der urnerischen Verordnung vom 14. Februar 1990 über den Strassenverkehr (RB 50.1311; nachfolgend: VSV) beurteilt die Sicherheitsdirektion Übertretungen im Strassenverkehr, bei denen in tatsächlicher und verschuldensmässiger Hinsicht einfache und leichte Verhältnisse vorliegen, keine Rechtsgüter erheblich verletzt wurden und nur auf Busse erkannt wird. Die Sicherheitsdirektion ist damit Übertretungsstrafbehörde im Sinne von Art. 17 Abs. 1 StPO . Es kommen ihr die Befugnisse der Staatsanwaltschaft zu (vgl. Art. 357 Abs. 1 StPO ) und sie ist insbesondere berechtigt, Strafbefehle zu erlassen ( Art. 352 Abs. 1 StPO ).</w:t>
      </w:r>
    </w:p>
    <w:p>
      <w:r>
        <w:rPr>
          <w:b/>
        </w:rPr>
        <w:t>E. 1.3</w:t>
      </w:r>
    </w:p>
    <w:p>
      <w:r>
        <w:t>Das Verfahren vor den Übertretungsstrafbehörden richtet sich sinngemäss nach den Vorschriften über das Strafbefehlsverfahren ( Art. 357 Abs. 2 StPO ), für abweichende oder ergänzende Verfahrensbestimmungen der Kantone verbleibt kein Raum. Art. 27 Abs. 3 VSV sieht vor, dass Strafverfügungen der Sicherheitsdirektion innert zehn Tagen seit der Zustellung bei der Staatsanwaltschaft angefochten werden können. Gestützt darauf ist die Staatsanwaltschaft auf die Einsprache der Beschwerdeführerin mit der Begründung, diese sei formungültig und bei der falschen Behörde eingereicht worden, nicht eingetreten. Die kantonalrechtliche Bestimmung von Art. 27 Abs. 3 VSV erweist sich als bundesrechtswidrig, da das Strafbefehlsverfahren in BGE 140 IV 192 S. 195 Art. 354 ff. StPO abschliessend geregelt ist. Hat der Kanton eine Übertretungsstrafbehörde eingesetzt und erlässt diese den Strafbefehl, tritt sie an die Stelle der Staatsanwaltschaft. Die Einsprache ist bei der Übertretungsstrafbehörde innert zehn Tagen schriftlich einzureichen ( Art. 354 Abs. 1 StPO ; in diesem Sinne auch die einhellige Lehre, vgl. GILLIÉRON/KILLIAS, in: Commentaire romand, Code de procédure pénale suisse, 2011, N. 8 ff. zu Art. 357 StPO ; FRANZ RIKLIN, in: Basler Kommentar, Schweizerische Strafprozessordnung, 2011, N. 4 zu Art. 357 StPO ; MOREILLON/PAREIN-REYMOND, CPP, Code de procédure pénale, 2013, N. 8 zu Art. 357 StPO ; CHRISTIAN SCHWARZENEGGER, in: Kommentar zur Schweizerischen Strafprozessordnung [StPO], 2010, N. 19 zu Art. 357 StPO ; JEANNERET/KUHN, Précis de procédure pénale, 2013, N. 17042). Wird Einsprache erhoben, nimmt die Übertretungsstrafbehörde die weiteren Beweise ab, die zur Beurteilung erforderlich sind ( Art. 355 Abs. 1 StPO ). Sie entscheidet, ob sie am Strafbefehl festhält, das Verfahren einstellt, einen neuen Strafbefehl erlässt oder Anklage beim Gericht erhebt ( Art. 355 Abs. 3 StPO ; GILLIÉRON/KILLIAS, a.a.O., N. 10 zu Art. 357 StPO ; RIKLIN, a.a.O., N. 5 und 12 zu Art. 357 StPO ; SCHWARZENEGGER, a.a.O., N. 20 zu Art. 357 StPO ; a.M. JEANNERET/KUHN, a.a.O., N. 17046, wonach die vierte Möglichkeit im Sinne von Art. 355 Abs. 3 lit. d StPO ausgeschlossen ist). Entschliesst sich die Übertretungsstrafbehörde, am Strafbefehl festzuhalten, überweist sie die Akten dem erstinstanzlichen Gericht zur Durchführung des Hauptverfahrens ( Art. 356 Abs. 1 StPO ). Ist die Gültigkeit der Einsprache umstritten, entscheidet darüber nicht die Staatsanwaltschaft bzw. die Übertretungsstrafbehörde, sondern das erstinstanzliche Gericht ( Art. 356 Abs. 2 StPO ). Die Strafprozessordnung lässt gegen den Strafbefehl nur den Rechtsbehelf der Einsprache zu; eine "Anfechtung" des von einer Übertretungsstrafbehörde erlassenen Strafbefehls bei der Staatsanwaltschaft ist nicht vorgesehen.</w:t>
      </w:r>
    </w:p>
    <w:p>
      <w:r>
        <w:rPr>
          <w:b/>
        </w:rPr>
        <w:t>E. 1.4</w:t>
      </w:r>
    </w:p>
    <w:p>
      <w:r>
        <w:t>Die Staatsanwaltschaft war nicht befugt, über die Gültigkeit der Einsprache zu entscheiden; dafür ist allein das erstinstanzliche Gericht zuständig. Die Beschwerde ist gutzuheissen. Der Entscheid des Obergerichts des Kantons Uri vom 16. Dezember 2013 ist aufzuheben und die Sache zur neuen Beurteilung an die Vorinstanz zurückzuweisen. Diese wird der Sicherheitsdirektion die Möglichkeit einzuräumen haben, über das weitere Vorgehen im Sinne von Art. 355 Abs. 1 und 3 lit. a-d StPO zu entscheiden. Hält diese am Strafbefehl nach Art. 355 Abs. 3 lit. a StPO fest, wird das erstinstanzliche BGE 140 IV 192 S. 196 Gericht über die Gültigkeit des Strafbefehls und der Einsprache zu befinden haben. Damit erübrigt es sich, auf die weiteren Rügen der Beschwerdeführerin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