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334</w:t>
      </w:r>
    </w:p>
    <w:p>
      <w:r>
        <w:t>Bundesgericht (BGE), 2014-06-13, DE</w:t>
      </w:r>
    </w:p>
    <w:p>
      <w:r>
        <w:rPr>
          <w:b/>
        </w:rPr>
        <w:t xml:space="preserve">Quelle: </w:t>
      </w:r>
      <w:r>
        <w:t>https://mcp.opencaselaw.ch/entscheid/bge_BGE_140_II_334</w:t>
      </w:r>
    </w:p>
    <w:p>
      <w:r>
        <w:t>FR: ATF 140 II 334</w:t>
      </w:r>
    </w:p>
    <w:p>
      <w:r>
        <w:t>IT: DTF 140 II 334</w:t>
      </w:r>
    </w:p>
    <w:p>
      <w:pPr>
        <w:pStyle w:val="Heading2"/>
      </w:pPr>
      <w:r>
        <w:t>Regeste</w:t>
      </w:r>
    </w:p>
    <w:p>
      <w:r>
        <w:t>Regeste Sicherungsentzug; Wiedererteilung des Führerausweises unter einer Alkoholabstinenzauflage; Haaranalyse; Vertrauensschutz bei Klarstellung der Rechtsprechung; Art. 16d Abs. 1 und Art. 17 Abs. 5 SVG. Sicherungsentzug nach Missachtung einer Abstinenzauflage (E. 2). Nachweis der Einhaltung der Abstinenzauflage mittels Haaranalyse (E. 3-5). Sicherungsentzüge dienen der Gewährleistung der Verkehrssicherheit; in den sie betreffenden Verfahren gilt die Unschuldsvermutung nicht. Bei der Haaranalyse zum Nachweis der Abstinenz ist auf den gemessenen Mittelwert, ohne Berücksichtigung der Messungenauigkeit von +/- 25 %, abzustellen (E. 6). Interpretation der Messwerte: Bei EtG-Werten unter der Nachweisgrenze von 2 pg/mg gilt die Abstinenz als eingehalten, bei Werten von über 7 pg/mg als missachtet. Werte dazwischen sind für sich allein nicht schlüssig. Anwendung in concreto (E. 7). Vertrauensschutz bei Klarstellung der Rechtsprechung (E. 8).</w:t>
      </w:r>
    </w:p>
    <w:p>
      <w:r>
        <w:t>Regeste Retrait de sécurité; restitution du permis de conduire sous condition d'une abstinence à l'alcool; analyse de cheveux; protection de la confiance en cas de précision de la jurisprudence; art. 16d al. 1 et art. 17 al. 5 LCR. Retrait de sécurité du permis de conduire en raison du non-respect de l'obligation d'abstinence (consid. 2). Contrôle du respect de l'abstinence au moyen d'une analyse de cheveux (consid. 3-5). Les retraits de sécurité du permis de conduire garantissent la sécurité du trafic; la présomption d'innocence ne vaut pas dans les procédures les concernant. Lorsque l'analyse de cheveux est utilisée comme preuve de l'abstinence, il faut se fonder sur la valeur moyenne mesurée sans égard à l'incertitude de mesure de +/- 25 % (consid. 6). Interprétation de la valeur mesurée: l'obligation d'abstinence est tenue pour respectée en cas de valeurs EtG inférieures au seuil de détection de 2 pg/mg, et pour violée en cas de valeurs supérieures à 7 pg/mg. Les valeurs situées entre deux ne sont pas probantes à elles seules. Application au cas concret (consid. 7). Protection de la confiance en cas de précision de la jurisprudence (consid. 8).</w:t>
      </w:r>
    </w:p>
    <w:p>
      <w:r>
        <w:t>Regesto Revoca a scopo di sicurezza; restituzione della licenza di condurre a condizione di astenersi dal consumo di bevande alcoliche; analisi dei capelli; tutela della fiducia nel contesto di un chiarimento della giurisprudenza; art. 16d cpv. 1 e art. 17 cpv. 5 LCStr. Revoca a scopo di sicurezza in seguito all'inosservanza di un obbligo di astinenza (consid. 2). Controllo del rispetto dell'obbligo di astinenza per il tramite di un'analisi dei capelli (consid. 3-5). Le revoche a scopo di sicurezza servono a garantire la sicurezza del traffico; nei relativi procedimenti, la presunzione di innocenza non vale. Nel quadro dell'analisi dei capelli tendente a provare l'astinenza, ci si deve fondare sul valore medio misurato, senza tener conto dell'inesattezza della misurazione di +/- 25 % (consid. 6). Interpretazione dei valori misurati: di fronte a valori EtG inferiori al limite di rilevamento di 2 pg/mg, l'astinenza è rispettata, dinanzi a valori superiori a 7 pg/mg essa è disattesa. Valori che si situano entro questi due limiti da soli non sono concludenti. Applicazione nel caso concreto (consid. 7). Tutela della fiducia nel contesto di un chiarimento della giurisprudenza (consid. 8).</w:t>
      </w:r>
    </w:p>
    <w:p>
      <w:pPr>
        <w:pStyle w:val="Heading2"/>
      </w:pPr>
      <w:r>
        <w:t>Erwägungen</w:t>
      </w:r>
    </w:p>
    <w:p>
      <w:r>
        <w:rPr>
          <w:b/>
        </w:rPr>
        <w:t>E. 2</w:t>
      </w:r>
    </w:p>
    <w:p>
      <w:r>
        <w:t>Gegenstand des angefochtenen Entscheids ist der Sicherungsentzug vom 10. Juni 2013. Dieser stützt sich auf Art. 17 Abs. 5 SVG . Nach dieser Bestimmung ist der Ausweis zu entziehen, wenn der Inhaber Auflagen missachtet, die bei der Wiedererteilung eines früher entzogenen Führerausweises verfügt worden waren (vgl. Art. 17 Abs. 3 SVG ). Dem Beschwerdegegner wurde am 20. Juli 2012 der Führerausweis unter der Auflage wieder erteilt, dass er eine ärztlich kontrollierte Alkoholtotalabstinenz einhalte und die Respektierung dieser Pflicht unter anderem alle sechs Monate durch Haaranalysen auf EtG am IRMZ (erstmals im November 2012) nachweise. BGE 140 II 334 S. 337 Die erwähnte Auflage bezweckt, gewisse Bedenken an der Fahreignung gemäss Art. 16d Abs. 1 SVG auszuräumen, die bei der Wiedererteilung des Führerausweises noch bestanden. Die Vorinstanz erklärt zu Recht, dass der Führerausweis ohne weitere verkehrsmedizinische Abklärungen über das Bestehen einer Suchtkrankheit zu entziehen ist, wenn der Ausweisinhaber eine solche Auflage nicht einhält. Denn in diesem Fall ist davon auszugehen, dass er die bereits früher festgestellte Suchtkrankheit nicht erfolgreich überwunden hat und ihm die Fahreignung weiterhin fehlt. Die Vorinstanz gelangt im Unterschied zur Beschwerdeführerin zum Schluss, dass die vom IRMZ vorgenommene Haaranalyse vom 29. Mai 2013 die Einhaltung der Abstinenz belege und dem Beschwerdegegner deshalb der Führerausweis zu belassen sei. Streitgegenstand bildet demnach allein die Frage, ob der Beschwerdegegner die ihm am 20. Juli 2012 auferlegte Alkoholtotalabstinenz missachtet hat und ihm deshalb der Führerausweis wieder entzogen werden durfte.</w:t>
      </w:r>
    </w:p>
    <w:p>
      <w:r>
        <w:rPr>
          <w:b/>
        </w:rPr>
        <w:t>E. 3</w:t>
      </w:r>
    </w:p>
    <w:p>
      <w:r>
        <w:t>Der Nachweis, dass eine Alkoholtotalabstinenz eingehalten wird, erfolgt durch Blut- und Haarproben. Die Untersuchung des Bluts auf bestimmte sog. Marker - namentlich CDT, γ-GT, GPT, MCV - erlaubt Rückschlüsse auf den Konsum von Alkohol in dem der Analyse vorangehenden Zeitraum (vgl. BGE 129 II 82 E. 6.2.1 S. 89 f.). Neuerdings findet zum Nachweis der Abstinenz regelmässig auch die Haaranalyse Anwendung. Art. 55 Abs. 7 lit. c SVG erwähnt sie ausdrücklich, doch ist ihre Verwendung vom Bundesrat bisher nicht näher geregelt worden. Im Unterschied zu den Markern im Blut, die lediglich indirekte Indikatoren eines Alkoholkonsums sind, gibt die Haaranalyse darüber direkten Aufschluss. Nach dem Alkoholgenuss wird das Abbauprodukt EtG im Haar eingelagert und erlaubt über ein grösseres Zeitfenster als bei der Blutuntersuchung Aussagen über den erfolgten Konsum. Die festgestellte EtG-Konzentration korreliert mit der aufgenommenen Menge an Trinkalkohol. Allerdings ist ein einmaliger Konsum auch mittels Haaranalyse unter Umständen nicht nachweisbar (vgl. Schweizerische Gesellschaft für Rechtsmedizin, Arbeitsgruppe Haaranalytik, Die forsensisch-toxikologische Haaranalytik, Version 12/2009, Ziff. 2.3.3; dieselbe , Bestimmung von Ethylglucuronid [EtG] in Haarproben, Version 2012, Ziff. 3.1). Die bundesgerichtliche Rechtsprechung anerkennt die Haaranalyse als geeignetes Mittel sowohl zum Nachweis eines übermässigen BGE 140 II 334 S. 338 Alkoholkonsums als auch der Einhaltung einer Abstinenzverpflichtung (Urteile 6A.8/2007 vom 1. Mai 2007 E. 2; 1C_150/2010 vom 25. November 2010 E. 5; 1C_26/2011 vom 25. Juli 2011 E. 3).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 BGE 132 II 257 E. 4.4.1 S. 269).</w:t>
      </w:r>
    </w:p>
    <w:p>
      <w:r>
        <w:rPr>
          <w:b/>
        </w:rPr>
        <w:t>E. 4</w:t>
      </w:r>
    </w:p>
    <w:p>
      <w:r>
        <w:t>Das vom IMRZ am 29. Mai 2013 erstattete Gutachten stellte im Haar des Beschwerdegegners für den Zeitraum von Anfang November 2012 bis Anfang April 2013 einen Wert von 8,0 pg/mg EtG fest. Gestützt auf diesen Befund und die belastete Vorgeschichte gelangte es zum Schluss, der Beschwerdegegner habe die Verpflichtung zur Alkoholtotalabstinenz nicht eingehalten. Die Vorinstanz hat dieses Gutachten als widersprüchlich erachtet und angenommen, der Beschwerdegegner habe die Abstinenzverpflichtung respektiert. Sie hat sich dabei vor allem auf ein neueres Urteil des Bundesgerichts gestützt (1C_20/2012 vom 18. April 2012 E. 2.3), dem ein vergleichbarer Sachverhalt zugrunde lag. Die Beschwerdeführerin kritisiert die vorinstanzliche Würdigung des Gutachtens und die gestützt darauf getroffene Feststellung, der Beschwerdegegner habe im fraglichen Zeitraum totalabstinent gelebt, als offensichtlich unzutreffend. Sie bringt vor, die Vorinstanz habe das Gutachten des IRMZ falsch verstanden, und bezieht sich dabei unter anderem auf eine nach dem Urteil eingeholte Stellungnahme dieses Instituts vom 9. Oktober 2013. Nach dieser ist der erwähnte Entscheid des Bundesgerichts, auf den sich die Vorinstanz stützt, aufgrund der neuesten wissenschaftlichen Erkenntnisse überholt.</w:t>
      </w:r>
    </w:p>
    <w:p>
      <w:r>
        <w:rPr>
          <w:b/>
        </w:rPr>
        <w:t>E. 5</w:t>
      </w:r>
    </w:p>
    <w:p>
      <w:r>
        <w:t>Die Vorinstanz hat zur Interpretation des Gutachtens des IMRZ vom 29. Mai 2013 zu Recht die bereits erwähnten Erläuterungen "Bestimmung von Ethylglucuronid (EtG) in Haarproben" der Arbeitsgruppe Haaranalytik der Schweizerischen Gesellschaft für Rechtsmedizin (Version 2012) herangezogen. Darin werden zunächst das praktische Vorgehen und die Anforderungen der Haaranalytik erörtert (Ziff. 4 und 5). Insbesondere wird darauf hingewiesen, dass bei der Bestimmung des EtG-Werts im Haar eine Messunsicherheit von +/- 25 % bestehe (Ziff. 5.3.4). Weiter finden sich darin Erläuterungen zur Interpretation der gemessenen Werte (Ziff. 6). BGE 140 II 334 S. 339 Die Kritik der Beschwerdeführerin richtet sich einerseits gegen die vorinstanzliche Bestimmung des massgeblichen EtG-Werts und anderseits gegen dessen Interpretation. So hätte von dem beim Beschwerdegegner ermittelten EtG-Wert von 8 pg/mg nicht 25 % abgezogen werden und demnach von lediglich 6 pg/mg ausgegangen werden dürfen. Zudem belege auch ein Wert von 6 pg/mg nicht die Einhaltung einer Alkoholtotalabstinenz.</w:t>
      </w:r>
    </w:p>
    <w:p>
      <w:r>
        <w:rPr>
          <w:b/>
        </w:rPr>
        <w:t>E. 6</w:t>
      </w:r>
    </w:p>
    <w:p>
      <w:r>
        <w:t>Der vom IRMZ ermittelte EtG-Wert von 8 pg/mg ist wie erwähnt mit einer Messunsicherheit von 25 % behaftet. Das bedeutet, dass sich der wahre Wert in der Spannbreite von 6 bis 10 pg/mg bewegt, aber aus technischen Gründen nicht genau bestimmt werden kann. Eine Messunsicherheit besteht regelmässig auch bei der Ermittlung des Blutalkoholgehalts. Es ist allein möglich, für einen bestimmten Zeitpunkt eine maximale und eine minimale Blutalkoholkonzentration, nicht aber den exakten Wert anzugeben. Nach der Rechtsprechung ist im Strafverfahren wegen Fahrens in angetrunkenem Zustand auf die ermittelte minimale Blutalkoholkonzentration abzustellen. Denn in diesem Verfahren gilt die Unschuldsvermutung des Beschuldigten ( Art. 32 Abs. 1 BV , Art. 6 Ziff. 1 EMRK ). Gleich verhält es sich beim sog. Warnungsentzug, da dieser eine schuldhafte Verkehrsregelverletzung voraussetzt und deshalb den Charakter einer Strafe aufweist. Demgegenüber findet die Unschuldsvermutung beim sog. Sicherungsentzug keine Anwendung. Diese Massnahme erfolgt nicht wegen eines schuldhaften Verhaltens des Ausweisinhabers, sondern im Interesse der Verkehrssicherheit ( BGE 122 II 359 E. 2c S. 363). Das Bundesgericht hat deshalb bei einer Fahrzeuglenkerin, die sich gegen einen vorsorglichen Sicherungsentzug wehrte und bei der zum fraglichen Zeitpunkt eine Blutalkoholkonzentration von maximal 2,9 und minimal 2,3 Promille festgestellt wurde, auf den Mittelwert von 2,6 Promille abgestellt (Urteil 6A.106/2001 vom 26. November 2001 E. 3c/bb). Wie die Beschwerdeführerin zu Recht geltend macht, ist die Messunsicherheit bei Haaranalysen vergleichbar mit jener bei der Blutalkoholbestimmung. Die für die Letztere entwickelte Rechtsprechung ist deshalb bei Haaranalysen ebenfalls anzuwenden. In Verfahren, die einen erneuten Sicherungsentzug wegen Nichteinhaltung einer Alkoholtotalabstinenz zum Gegenstand haben, ist somit auf den ermittelten EtG-Wert abzustellen, da dieser nach unten und nach oben mit der gleichen Messunsicherheit von 25 % behaftet ist. Dieses BGE 140 II 334 S. 340 Vorgehen rechtfertigt sich umso mehr, als nach dem erfolgten Sicherungsentzug nicht der Staat die erneute Alkoholabhängigkeit des Beschwerdegegners belegen muss, sondern gemäss Verfügung vom 20. Juli 2012 der Letztere nachzuweisen hat, dass er die Alkoholtotalabstinenz einhielt. An den Ausführungen in dem von der Vorinstanz zitierten Urteil (1C_20/2012 vom 18. April 2012 E. 2.3), wonach bei einem ermittelten EtG-Wert von 8 pg/mg zugunsten des zur Abstinenz Verpflichteten 25 % abzuziehen seien und damit von 6 pg/mg auszugehen sei, kann im Lichte der bisherigen gefestigten Rechtsprechung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