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262</w:t>
      </w:r>
    </w:p>
    <w:p>
      <w:r>
        <w:t>Bundesgericht (BGE), 2014-01-01, DE</w:t>
      </w:r>
    </w:p>
    <w:p>
      <w:r>
        <w:rPr>
          <w:b/>
        </w:rPr>
        <w:t xml:space="preserve">Quelle: </w:t>
      </w:r>
      <w:r>
        <w:t>https://mcp.opencaselaw.ch/entscheid/bge_BGE_140_II_262</w:t>
      </w:r>
    </w:p>
    <w:p>
      <w:r>
        <w:t>FR: ATF 140 II 262</w:t>
      </w:r>
    </w:p>
    <w:p>
      <w:r>
        <w:t>IT: DTF 140 II 262</w:t>
      </w:r>
    </w:p>
    <w:p>
      <w:pPr>
        <w:pStyle w:val="Heading2"/>
      </w:pPr>
      <w:r>
        <w:t>Regeste</w:t>
      </w:r>
    </w:p>
    <w:p>
      <w:r>
        <w:t>Regeste Art. 8 RPG; Art. 10a USG; Art. 29 ff. GSchG; Art. 22, 39 und 58 WRG; Wassernutzungskonzession für Kleinwasserkraftwerk. Das in Frage stehende Kleinwasserkraftwerk erfordert keine Grundlage im Richtplan (E. 2). Prüfungsgegenstand der ersten Stufe der Umweltverträglichkeitsprüfung im Rahmen des Konzessionsentscheids (E. 4). Grundsätze zur Festlegung der Mindestrestwassermenge (E. 5). Erhöhung der Mindestrestwassermenge zum Schutz seltener Lebensräume und -gemeinschaften; inhaltliche Anforderungen an den Umweltverträglichkeitsbericht (E. 6). Erhöhung der Mindestrestwassermenge zur Gewährleistung der für die freie Fischwanderung erforderlichen Wassertiefe. Eine Erhöhung setzt voraus, dass im naturnahen Zustand die freie Fischwanderung überhaupt möglich ist (E. 7). Umfassende Interessenabwägung unter Berücksichtigung namentlich des gesetzlichen Ziels, die Erzeugung von Elektrizität aus erneuerbaren Energien zu fördern (E. 8). Die Konzessionsdauer von 80 Jahren entspricht der gesetzlichen Höchstdauer. Sie ist zulässig, auch wenn die Amortisationsdauer für die getätigten Investitionen deutlich kürzer ist (E. 10).</w:t>
      </w:r>
    </w:p>
    <w:p>
      <w:r>
        <w:t>Regeste Art. 8 LAT; art. 10a LPE; art. 29 ss LEaux; art. 22, 39 et 58 LFH; concession de droit d'eau pour une petite centrale hydroélectrique. La petite centrale hydroélectrique en question ne nécessite pas de fondement dans le plan directeur (consid. 2). Objet de l'examen de la première étape de l'étude d'impact sur l'environnement dans le cadre de la décision de concession (consid. 4). Principes applicables à la détermination du débit résiduel minimal (consid. 5). Augmentation du débit résiduel minimal pour la protection de biotopes et de biocénoses rares; exigences quant au contenu du rapport d'impact sur l'environnement (consid. 6). Augmentation du débit résiduel minimal pour garantir la profondeur d'eau nécessaire à la libre migration des poissons. Une augmentation suppose que la libre migration est déjà possible dans l'état naturel (consid. 7). Pesée globale des intérêts prenant notamment en compte l'objectif du législateur de favoriser la production d'électricité à partir de sources d'énergie renouvelables (consid. 8). La durée de la concession de 80 ans correspond à la durée maximale prévue par la loi. Elle est admissible même si la durée d'amortissement est clairement plus courte pour les investissements effectués (consid. 10).</w:t>
      </w:r>
    </w:p>
    <w:p>
      <w:r>
        <w:t>Regesto Art. 8 LPT; art. 10a LPAmb; art. 29 segg. LPAc; art. 22, 39 e 58 LUFI; concessione per l'utilizzazione delle acque per una centralina idroelettrica. La centralina idroelettrica in questione non necessita di un fondamento nel piano direttore (consid. 2). Oggetto dell'esame nella prima fase dell'esame dell'impatto sull'ambiente nel quadro della decisione di concessione (consid. 4). Principi per la determinazione del deflusso residuale minimo (consid. 5). Aumento del deflusso residuale minimo per tutelare i biotopi e le biocenosi rari; esigenze al contenuto del rapporto dell'impatto sull'ambiente (consid. 6). Aumento del deflusso residuale minimo per garantire la profondità d'acqua necessaria alla libera migrazione dei pesci. Un aumento presuppone che la libera migrazione sia già possibile allo stato naturale (consid. 7). Valutazione globale degli interessi che tenga segnatamente in considerazione l'obiettivo legale di promuovere la produzione di elettricità a partire da fonti di energia rinnovabili (consid. 8). La durata della concessione di 80 anni corrisponde alla durata massima legale. Essa è ammissibile, sebbene il periodo di ammortamento per gli investimenti effettuati sia chiaramente più corto (consid. 10).</w:t>
      </w:r>
    </w:p>
    <w:p>
      <w:pPr>
        <w:pStyle w:val="Heading2"/>
      </w:pPr>
      <w:r>
        <w:t>Erwägungen</w:t>
      </w:r>
    </w:p>
    <w:p>
      <w:r>
        <w:rPr>
          <w:b/>
        </w:rPr>
        <w:t>E. 2.1</w:t>
      </w:r>
    </w:p>
    <w:p>
      <w:r>
        <w:t>Die Beschwerdeführer machen in erster Linie geltend, die Richtplanung des Kantons Wallis sei unvollständig ( Art. 8 RPG [SR 700]). Der kantonale Richtplan selbst bezeichne Vorhaben für die Wassernutzung als koordinationsbedürftig. Das Koordinationsblatt G.3/2 des Richtplans sehe zudem nicht den Neubau von weiteren Wasserkraftwerken vor, sondern verlange in erster Priorität die Erneuerung der bestehenden Anlagen. Weiter werde der Kanton angewiesen, in Zusammenarbeit mit den Gemeinden eine kantonale Übersicht zu erstellen, die aufzeige, welche Anlagen Erneuerungspotenzial aufweisen, wo allfällig neue Kraftwerksanlagen erstellt werden können und welche Kriterien dafür erfüllt sein müssen. Ohne Koordination auf Richtplanebene könne nicht bestimmt werden, wo die Stromproduktion aus Wasserkraft unter besserer Schonung der Natur erfolgen kann.</w:t>
      </w:r>
    </w:p>
    <w:p>
      <w:r>
        <w:rPr>
          <w:b/>
        </w:rPr>
        <w:t>E. 2.2</w:t>
      </w:r>
    </w:p>
    <w:p>
      <w:r>
        <w:t>Das Kantonsgericht führt im angefochtenen Entscheid aus, die Konzessionserteilung stehe weder zum Raumplanungsgesetz noch zum kantonalen Richtplan im Widerspruch. Aus den Koordinationsblättern G.3/2, G.4/2 und G.2/2 werde ersichtlich, welch grosse Bedeutung der Wasserkraftnutzung zur Stromerzeugung im Kanton Wallis zukomme (G.3/2: "Produktion von Energie aus Wasserkraft", G.4/2: "Projekte und Ausbau bestehender Anlagen" [beide vom Staatsrat erlassen am 28. April 1999 und durch den Bund genehmigt am 22. Dezember 1999], G.2/2: "Energieversorgung" [vom Staatsrat erlassen am 11. Februar 2009 und durch den Bund genehmigt am 30. April 2009]). Entgegen der Ansicht der Beschwerdeführer lasse der Richtplan zu diesem Zweck nicht nur die Sanierung oder den Ausbau bestehender Wasserkraftwerke, sondern auch den Neubau zu. Dies gehe unter anderem aus Grundsatz 6 des Koordinationsblatts G.2/2 hervor. Wohl sei die bisherige Planung betreffend Kleinkraftwerke verbesserungsfähig, doch sei die Erteilung von Wassernutzungskonzessionen nicht ausgeschlossen, nur weil Kanton BGE 140 II 262 S. 266 und Gemeinden die von Koordinationsblatt G.3/2 geforderte Übersicht noch nicht erstellt hätten. Aus dem Bundesrecht gehe zudem nicht schlüssig hervor, welche Vorhaben derart bedeutend seien, dass sie nur aufgrund eines Richtplans genehmigt werden dürften. Der Umstand, dass für ein Projekt eine Umweltverträglichkeitsprüfung durchzuführen sei, sei zwar ein gewichtiges Indiz dafür, dass es der Planungspflicht unterliege. Dabei handle es sich indessen um die Nutzungs- und nicht um die Richtplanung. Für ein Vorhaben der Grössenordnung, wie sie hier vorliege, bedürfe es deshalb keiner Richtplananpassung.</w:t>
      </w:r>
    </w:p>
    <w:p>
      <w:r>
        <w:rPr>
          <w:b/>
        </w:rPr>
        <w:t>E. 2.3.1</w:t>
      </w:r>
    </w:p>
    <w:p>
      <w:r>
        <w:t>Die Raumplanung bildet mit der Richt- und Nutzungsplanung sowie den nachfolgenden Baubewilligungs- und allfälligen Ausnahmebewilligungsverfahren ein Ganzes, in dem jeder Teil eine spezifische Funktion erfüllt. Für die Erstellung der Richtpläne bestimmen die Kantone in den Grundzügen, wie sich ihr Gebiet räumlich entwickeln soll ( Art. 6 Abs. 1 RPG ). Nutzungspläne ihrerseits ordnen die zulässige Nutzung des Bodens für jede Parzelle und unterscheiden vorab Bau-, Landwirtschafts- und Schutzzonen ( Art. 14 RPG ). Das Baubewilligungsverfahren schliesslich dient der Abklärung, ob Bauten und Anlagen den im Nutzungsplan ausgedrückten räumlichen Ordnungsvorstellungen entsprechen (zum Ganzen BGE 137 II 254 E. 3.1 S. 257; BGE 131 II 103 E. 3.3 S. 117 f.; Urteil 1C_7/2012 vom 11. Juni 2012 E. 2.3, in: ZBl 114/2013 S. 281; je mit Hinweisen; vgl. dagegen noch BGE 119 Ib 254 E. 5c S. 270). Das Bundesrecht verlangt mithin, dass bei der Erfüllung raumplanerischer Aufgaben das angemessene Planungs- bzw. Entscheidungsinstrument zum Einsatz gelangt.</w:t>
      </w:r>
    </w:p>
    <w:p>
      <w:r>
        <w:rPr>
          <w:b/>
        </w:rPr>
        <w:t>E. 2.3.2</w:t>
      </w:r>
    </w:p>
    <w:p>
      <w:r>
        <w:t>Gemäss Art. 8 RPG zeigen Richtpläne mindestens, wie die raumwirksamen Tätigkeiten im Hinblick auf die anzustrebende Entwicklung aufeinander abgestimmt werden (lit. a) und in welcher zeitlichen Folge und mit welchen Mitteln vorgesehen ist, die Aufgaben zu erfüllen (lit. b). Laut Art. 5 Abs. 1 RPV (SR 700.1) zeigt der Richtplan die im Hinblick auf die anzustrebende räumliche Entwicklung wesentlichen Ergebnisse der Planung im Kanton und der Zusammenarbeit mit Bund, Nachbarkantonen und benachbartem Ausland; er bestimmt die Richtung der weiteren Planung und Zusammenarbeit, insbesondere mit Vorgaben für die Zuweisung der Bodennutzungen und für die Koordination der einzelnen Sachbereiche, und bezeichnet die dafür erforderlichen Schritte. BGE 140 II 262 S. 267 Hinsichtlich der Bestimmung der Richtplaninhalte gesteht das RPG den Kantonen einen grossen Spielraum zu. Wohl verlangen teilweise Spezialbestimmungen, einzelne Nutzungen oder die Standorte bedeutender Vorhaben im Richtplan festzulegen. Dies gilt etwa für Intensivlandwirtschaftszonen ( Art. 16a Abs. 3 RPG ) oder für die Standorte von Abfalldeponien ( Art. 17 der technischen Verordnung über Abfälle vom 10. Dezember 1990 [TVA; SR 814.600] ). Eine Norm, welche die Kantone verpflichten würde, die Standorte aller Wasserkraftwerke im Richtplan festzulegen, besteht jedoch nicht. In seiner bisherigen Rechtsprechung hat das Bundesgericht bei der Beurteilung der Notwendigkeit einer richtplanerischen Festsetzung auf die räumliche Wesentlichkeit des Vorhabens abgestellt. In BGE 119 Ib 254 liess es vor diesem Hintergrund die Erteilung der Konzession für ein grosses Wasserkraftwerk zu, obwohl keine detaillierten Angaben im Richtplan bestanden (a.a.O., E. 5c S. 270). Es verlangte jedoch, dass bei der Projektüberprüfung die nach Raumplanungsrecht erforderliche Abstimmung der raumwirksamen Tätigkeiten beachtet und insbesondere dem Gebot der haushälterischen und umweltschonenden Nutzung ( Art. 2 Abs. 1 lit. d RPV ) Rechnung getragen wird. In BGE 137 II 254 erachtete es einen Richtplan, der keine präzisen Vorgaben zur Ausdehnung und zum Standort einer Auto-Rundstrecke enthielt, dagegen als unvollständig. Entscheidend ist gemäss diesem Urteil, ob angesichts der weitreichenden Auswirkungen des Vorhabens eine vorgängige umfassende Interessenabwägung notwendig erscheint, die nur durch den Prozess der Richtplanung garantiert werden kann (a.a.O., E. 3.2 f. S. 257 ff. mit Hinweisen; vgl. auch Art. 8 Abs. 2 des [noch nicht in Kraft stehenden] revidierten Raumplanungsgesetzes, wonach Vorhaben mit gewichtigen Auswirkungen auf Raum und Umwelt einer Grundlage im Richtplan bedürfen; Bundesgesetz über die Raumplanung, Änderung vom 15. Juni 2012, BBl 2012 5988 f.; Botschaft vom 20. Januar 2010 zu einer Teilrevision des Raumplanungsgesetzes, BBl 2010 1067 ff.).</w:t>
      </w:r>
    </w:p>
    <w:p>
      <w:r>
        <w:rPr>
          <w:b/>
        </w:rPr>
        <w:t>E. 2.3.3</w:t>
      </w:r>
    </w:p>
    <w:p>
      <w:r>
        <w:t>Das Bundesamt für Umwelt (BAFU), das Bundesamt für Energie (BFE) und das Bundesamt für Raumentwicklung (ARE) haben im Jahr 2011 gemeinsam eine Empfehlung zur Erarbeitung kantonaler Schutz- und Nutzungsstrategien im Bereich Kleinwasserkraftwerke publiziert ( www.bafu.admin.ch/publikationen [besucht am 11. April 2014]). Sie listet mögliche Richtplaninhalte auf, die für die Interessenabwägung bei der Wasserrechtsverleihung bedeutsam BGE 140 II 262 S. 268 sein können. Dazu gehört auch die Bezeichnung von Gebieten, die für Kleinwasserkraftwerke nicht oder nur bedingt in Frage kommen oder sich dafür besonders eignen (a.a.O., S. 24). Jedoch werden die Kantone im Einklang mit der erwähnten Rechtsprechung nicht dazu angehalten, sämtliche Standorte einzeln auszuweisen.</w:t>
      </w:r>
    </w:p>
    <w:p>
      <w:r>
        <w:rPr>
          <w:b/>
        </w:rPr>
        <w:t>E. 2.3.4</w:t>
      </w:r>
    </w:p>
    <w:p>
      <w:r>
        <w:t>Wie bereits von der Vorinstanz dargelegt, hat sich der Kanton Wallis auf Richtplanebene mit verschiedenen Fragen rund um die Produktion von Energie aus Wasserkraft auseinandergesetzt und dabei Vorgaben formuliert. Insbesondere hat er Grundsätze zur Steigerung der Energieeffizienz und -produktion in Berücksichtigung der Anliegen der Raumplanung und des Umweltschutzes festgelegt und diese für den Bereich der Wasserkraft konkretisiert (Koordinationsblätter G.2/2, G.3/2 und G.4/2). Ein spezifisches Koordinationsblatt (g.316/2) wurde 2010 für das ebenfalls in der Gemeinde Obergoms gelegene und deutlich grössere Projekt Gletsch erlassen. Daraus geht hervor, dass die Wasserkraftnutzung in diesem Gebiet in den letzten Jahren eingehend untersucht worden ist. Der Walliser Richtplan enthält mithin verschiedene Ansätze zur Koordination des Baus künftiger Wasserkraftwerke, auch wenn die einzelnen Standorte nicht speziell ausgewiesen werden. Zwar trifft ebenfalls zu, dass das Koordinationsblatt G.3/2 der Erneuerung von bestehenden Anlagen den Vorrang gibt und eine kantonale Übersicht verlangt, die aufzeigt, welche Anlagen Erneuerungspotenzial aufweisen und wo neue Kraftwerksanlagen erstellt werden können. Diese Vorgaben haben jedoch keinen absoluten Charakter und es ist nicht die Rede davon, bis zur Schaffung einer entsprechenden Übersicht sei der Neubau von Kraftwerksanlagen ausgeschlossen. Zu berücksichtigen ist in diesem Zusammenhang auch, dass sowohl das 2009 erlassene Koordinationsblatt G.2/2 als auch die im gleichen Jahr in Kraft getretene Bestimmung von Art. 1 Abs. 4 des Energiegesetzes vom 26. Juni 1998 (EnG; SR 730.0) die Steigerung der Energieproduktion aus Wasserkraft bezwecken - unabhängig davon, ob dies durch eine Erneuerung bestehender oder durch den Bau neuer Anlagen geschieht. Vor diesem Hintergrund kann nicht davon gesprochen werden, ohne eine entsprechende Grundlage im Richtplan sei der Bau eines Kleinwasserkraftwerks von den hier zur Diskussion stehenden Dimensionen nicht möglich. Dass sich die geplanten Wasserfassungen und die Hangleitung vom Gonerli- zum Gerewasser innerhalb eines Landschaftsschutzgebiets von kantonaler Bedeutung befinden (vgl. E. 8.4.2 BGE 140 II 262 S. 269 hiernach), ändert daran nichts. Die Abstimmung der zu berücksichtigenden räumlichen Interessen erfordert keine aufwendige Koordination, die nur der Prozess der Richtplanung gewährleisten könnte. Wie aus den nachfolgenden Erwägungen hervorgeht, erlauben es die vorliegenden Grundlagen, die erforderliche umfassende Interessenabwägung vorzunehmen (vgl. E. 4 ff. hiernach). Eine Ausscheidung sämtlicher Standorte möglicher künftiger Kleinkraftwerksanlagen ist dafür nicht erforderlich. Das Kantonsgericht hat deshalb kein Bundesrecht verletzt, wenn es die Notwendigkeit einer spezifischen Grundlage im kantonalen Richtplan verneinte. Wie es sich bei grossen Wasserkraftprojekten verhält, muss im konkreten Einzelfall geprüft werden und ist hier nicht näher zu erörtern. (...)</w:t>
      </w:r>
    </w:p>
    <w:p>
      <w:r>
        <w:rPr>
          <w:b/>
        </w:rPr>
        <w:t>E. 4.1</w:t>
      </w:r>
    </w:p>
    <w:p>
      <w:r>
        <w:t>Das geplante Kraftwerk der KWOG AG stellt eine Anlage im Sinne von Art. 7 Abs. 7 USG (SR 814.01) dar. Bevor eine Behörde über die Planung, Errichtung oder Änderung von Anlagen entscheidet, prüft sie möglichst frühzeitig die Umweltverträglichkeit ( Art. 10a Abs. 1 USG ). Anlagen, welche Umweltbereiche erheblich belasten können, so dass die Einhaltung der Vorschriften über den Schutz der Umwelt voraussichtlich nur mit projekt- oder standortspezifischen Massnahmen sichergestellt werden kann, sind der Umweltverträglichkeitsprüfung unterstellt ( Art. 10a Abs. 2 USG ). Gemäss Art. 10a Abs. 3 USG bezeichnet der Bundesrat die Anlagetypen, die der Umweltverträglichkeitsprüfung unterstehen. Es handelt sich dabei um Anlagen, welche im Anhang zur Verordnung vom 19. Oktober 1988 über die Umweltverträglichkeitsprüfung (UVPV; SR 814.011) aufgeführt sind ( Art. 1 UVPV ). Bei den Energieanlagen werden in Ziff. 21.3 des Anhangs zur UVPV Speicher- und Laufkraftwerke mit einer installierten Leistung von mehr als 3 MW genannt. Dabei wird eine mehrstufige Umweltverträglichkeitsprüfung vorgeschrieben. Die erste Stufe der Umweltverträglichkeitsprüfung ist im Konzessionsverfahren durch die zur Verleihung von Wasserrechten zuständige Behörde desjenigen Kantons vorzunehmen, in dessen Gebiet die in Anspruch genommene Gewässerstrecke liegt ( Art. 38 Abs. 1 des Bundesgesetzes vom 22. Dezember 1916 über die Nutzbarmachung der Wasserkräfte [Wasserrechtsgesetz, WRG; SR 721.80] ). Das massgebliche Verfahren für die zweite Stufe wird durch das kantonale Recht bestimmt.</w:t>
      </w:r>
    </w:p>
    <w:p>
      <w:r>
        <w:rPr>
          <w:b/>
        </w:rPr>
        <w:t>E. 4.2</w:t>
      </w:r>
    </w:p>
    <w:p>
      <w:r>
        <w:t>Gemäss Art. 4 Abs. 1 des Gesetzes des Kantons Wallis vom 28. März 1990 über die Nutzbarmachung der Wasserkräfte (GNW; BGE 140 II 262 S. 270 SGS 721.8) kommt das Recht, innerhalb der Kantonsgrenzen über die Wasserkräfte der Rhone und des Genfersees zu verfügen, dem Kanton zu. Die Verfügung über die Wasserkräfte der übrigen öffentlichen Gewässer obliegt den Gemeinden (Art. 4 Abs. 2 GNW). Zuständige Wasserrechtsverleihungsbehörde ist im vorliegenden Fall der Gemeinderat Obergoms, wobei die von der Gemeinde erteilte Wasserrechtskonzession der Genehmigung des Regierungsrats unterliegt (Art. 9 Abs. 2 GNW). Das Verfahren der Konzessionserteilung, in welches die erste Stufe der UVP eingebettet ist, wird in Art. 7 ff. GNW näher ausgeführt. Auf das Konzessionsverfahren folgt gemäss Art. 31 GNW ein Plangenehmigungsverfahren, in dessen Rahmen die in Ausübung der Konzession zur errichtenden Bauwerke beurteilt werden. In diesem Plangenehmigungsverfahren erfolgt die zweite Stufe der Umweltverträglichkeitsprüfung (vgl. Urteil 1C_67/2011 vom 19. April 2012 E. 9.1.2, in: URP 2013 S. 72).</w:t>
      </w:r>
    </w:p>
    <w:p>
      <w:r>
        <w:rPr>
          <w:b/>
        </w:rPr>
        <w:t>E. 4.3</w:t>
      </w:r>
    </w:p>
    <w:p>
      <w:r>
        <w:t>Die Gliederung der Projektierung und Beurteilung erlaubt es, zunächst einen Grundsatzentscheid über die Zulässigkeit eines Vorhabens herbeizuführen, ohne dass schon über sämtliche, auch untergeordnete Bewilligungen entschieden werden müsste ( BGE 126 II 26 E. 5d S. 39 mit Hinweisen). Die Aufteilung auf zwei Verfahrensstufen erfordert, dass im Rahmen der ersten Stufe (dem Konzessionsverfahren) sämtliche grundsätzlich wesentlichen Aspekte der Anlage behandelt werden; diese dürfen auf der zweiten Stufe nicht mehr in Frage gestellt werden ( BGE 126 II 26 E. 5d S. 39; Urteil 1A.104/2001 vom 15. März 2002 E. 2.1; je mit Hinweisen; RICCARDO JAGMETTI, Energierecht, SBVR Bd. VII, 2005, Rz. 4431; ENRICO RIVA, Wasserkraftanlagen: Anforderungen an die Vollständigkeit und Präzision des Konzessionsentscheids, URP 2014 S. 11 ff.). Zu den wesentlichen Aspekten gehört insbesondere die Feststellung, dass dem fraglichen Projekt aus umweltrechtlicher Sicht grundsätzlich nichts entgegensteht ( BGE 121 II 378 E. 6c S. 393 f.; Urteil 1C_67/2011 vom 19. April 2012 E. 9.1.1, in: URP 2013 S. 72; je mit Hinweisen). In diesem Sinne hat das Bundesgericht aus der Koordinationspflicht abgeleitet, dass insbesondere die gewässerschutzrechtliche Bewilligung nach Art. 29 GSchG (SR 814.20), welche die nutzbare Wassermenge festlegt, zwingend zusammen mit der Konzession zu erteilen ist ( BGE 125 II 18 E. 4b/aa S. 22 f.; BGE 119 Ib 254 E. 6b S. 272; je mit Hinweisen). In das nachfolgende Verfahren der zweiten Stufe dürfen regelmässig nur Fragen verwiesen werden, denen bei gesamthafter Beurteilung lediglich untergeordnete Bedeutung zukommt BGE 140 II 262 S. 271 ( BGE 121 II 378 E. 6c S. 394; BGE 119 Ib 254 E. 9c S. 277 f.; Urteil 1A.104/2001 vom 15. März 2002 E. 2.1 und 3.3.6; je mit Hinweisen). Dies kann Massnahmen betreffen, die für die Bauzeit anzuordnen sind, um dem Lärmschutz und der Luftreinhaltung Rechnung zu tragen ( BGE 119 Ib 254 E. 10hd S. 297), im Einzelfall aber auch eine allenfalls notwendige Ausnahmebewilligung nach Art. 24 RPG oder eine Rodungsbewilligung nach Art. 5 des Bundesgesetzes vom 4. Oktober 1991 über den Wald ([Waldgesetz, WaG; SR 921.0] ; vgl. im Einzelnen BGE 119 Ib 254 E. 9c S. 277 f.; HANS GAUDENZ SCHMID, Landschaftsverträgliche Wasserkraftnutzung, 1997, S. 125 ff.; RIVA, a.a.O., S. 20 f.). Im vorliegenden Fall erteilte der Staatsrat zusammen mit der Genehmigung der kommunalen Wasserrechtsverleihung die notwendige Rodungsbewilligung; in Bezug auf Art. 24 RPG wies er auf die positive Stellungnahme der kantonalen Dienststelle für Raumentwicklung hin und behielt die spätere Erteilung der Ausnahmebewilligung (im Rahmen der zweiten Verfahrensstufe) vor. Dieses Vorgehen steht mit der erwähnten bundesgerichtlichen Rechtsprechung im Einklang.</w:t>
      </w:r>
    </w:p>
    <w:p>
      <w:r>
        <w:rPr>
          <w:b/>
        </w:rPr>
        <w:t>E. 4.4</w:t>
      </w:r>
    </w:p>
    <w:p>
      <w:r>
        <w:t>Im Rahmen des Verfahrens der Verleihung der Wasserrechtskonzession (erste Verfahrensstufe) ist gemäss Art. 39 WRG eine umfassende Interessenabwägung vorzunehmen. Dabei sind nach dem Ausgeführten alle wesentlichen Fragen des Vorhabens zu klären. Miteinzubeziehen sind allgemeinwirtschaftliche Interessen sowie der Schutz der Landschaft, des Ortsbilds, geschichtlicher Stätten und von Natur- und Kulturdenkmälern ( Art. 22 WRG , Art. 3 Abs. 1 des Bundesgesetzes vom 1. Juli 1966 über den Natur- und Heimatschutz [NHG; SR 451] ; vgl. JÜRG RUF, Infrastrukturbauten, in: Beraten und Prozessieren in Bausachen, 1998, Rz. 21.105).</w:t>
      </w:r>
    </w:p>
    <w:p>
      <w:r>
        <w:rPr>
          <w:b/>
        </w:rPr>
        <w:t>E. 4.5</w:t>
      </w:r>
    </w:p>
    <w:p>
      <w:r>
        <w:t>Im Folgenden ist entsprechend den in der Beschwerdeschrift vorgebrachten Rügen zu prüfen, ob die Erteilung der Wasserrechtskonzession die gewässerschutzrechtlichen Bestimmungen über die Mindestrestwassermenge und die dem Landschaftsschutz dienende Vorschrift von Art. 22 WRG respektiert sowie einer umfassenden Interessenabwägung standhält.</w:t>
      </w:r>
    </w:p>
    <w:p>
      <w:r>
        <w:rPr>
          <w:b/>
        </w:rPr>
        <w:t>E. 5.1</w:t>
      </w:r>
    </w:p>
    <w:p>
      <w:r>
        <w:t>Die Beschwerdeführer machen geltend, dass die Restwassermenge erhöht werden müsse, weil dies zur Erhaltung seltener Lebensräume und -gemeinschaften ( Art. 31 Abs. 2 lit. c GSchG ) und zur Gewährleistung der freien Fischwanderung ( Art. 31 Abs. 2 lit. d GSchG ) erforderlich sei. Zudem erfordere auch die Abwägung der für und BGE 140 II 262 S. 272 gegen die Wasserentnahme sprechenden Interessen, wie sie von Art. 33 GSchG vorgeschrieben werde, eine Erhöhung der Restwassermenge. Das Kantonsgericht habe in seiner Interessenabwägung die wirtschaftliche Bedeutung des Kraftwerks überschätzt und der landschaftlichen Beeinträchtigung zu wenig Bedeutung beigemessen. Dies verstosse auch gegen Art. 22 Abs. 1 WRG .</w:t>
      </w:r>
    </w:p>
    <w:p>
      <w:r>
        <w:rPr>
          <w:b/>
        </w:rPr>
        <w:t>E. 5.2</w:t>
      </w:r>
    </w:p>
    <w:p>
      <w:r>
        <w:t>Wer einem Fliessgewässer mit ständiger Wasserführung über den Gemeingebrauch hinaus Wasser entnehmen will, benötigt dazu gemäss Art. 29 lit. a GSchG eine Bewilligung. Die Entnahme kann bewilligt werden, wenn die Anforderungen nach Art. 31-35 GSchG erfüllt sind ( Art. 30 lit. a GSchG ; BGE 120 Ib 233 E. 5a S. 240 mit Hinweisen). Art. 31 GSchG setzt die Einhaltung einer Mindestrestwassermenge voraus. Diese wird dabei in Abhängigkeit von der Abflussmenge Q 347 definiert. Das ist jene Abflussmenge, die - gemittelt über zehn Jahre - durchschnittlich während 347 Tagen des Jahres erreicht oder überschritten wird und die durch Stauung, Entnahme oder Zuleitung von Wasser nicht wesentlich beeinflusst ist ( Art. 4 lit. h GSchG ). Abs. 1 von Art. 31 GSchG setzt für Fliessgewässer mit geringer Abflussmenge prozentual höhere Mindestrestwassermengen fest als für solche mit grösserer Abflussmenge (vgl. Botschaft vom 29. April 1987 zur Volksinitiative "zur Rettung unserer Gewässer" und zur Revision des Bundesgesetzes über den Schutz der Gewässer, BBl 1987 II 1129 Ziff. 322.2). Ausgehend von einer Abflussmenge Q 347 des Gonerliwassers von 75 l/s und des Gerewassers von 230 l/s haben die Vorinstanzen eine Mindestrestwassermenge von 62 l/s für das Gonerliwasser und 161 l/s für das Gerewasser errechnet. Nach Abs. 2 von Art. 31 GSchG muss die nach Abs. 1 berechnete Restwassermenge unter bestimmten Voraussetzungen erhöht werden, so etwa zur Erhaltung seltener Lebensräume und -gemeinschaften (lit. c) und zur Gewährleistung der freien Fischwanderung (lit. d). In einem weiteren Schritt ist die Mindestrestwassermenge gemäss Art. 33 GSchG insoweit zu erhöhen, als sich dies aufgrund einer Abwägung der Interessen für und gegen die Wasserentnahme ergibt ( BGE 125 II 18 E. 4a/bb S. 22 mit Hinweis). Die hierbei unter anderem zu berücksichtigende Bedeutung der Gewässer als Landschaftselement ( Art. 33 Abs. 3 lit. a GSchG ) ist dabei auch bei der Beurteilung im Licht von Art. 22 WRG bedeutsam (vgl. Urteil 1A.151/2002 vom 22. Januar 2003 E. 5.1, in: URP 2003 S. 235). Nach dieser letztgenannten Bestimmung sind Naturschönheiten zu schonen und BGE 140 II 262 S. 273 da, wo das allgemeine Interesse an ihnen überwiegt, ungeschmälert zu erhalten (Abs. 1). Zudem sind die Wasserwerke so auszuführen, dass sie das landschaftliche Bild nicht oder möglichst wenig stören (Abs. 2). Vorausgesetzt ist mithin eine Beurteilung des mit einer Gewässernutzung verbundenen Landschaftseingriffs und eine Abwägung der Interessen am Eingriff gegenüber den Interessen an der Erhaltung der Landschaft (Urteil 1A.59/1995 vom 28. April 2000 E. 3b, in: URP 2000 S. 691). Der Schutz des landschaftlichen Bilds gemäss Art. 22 WRG und die umfassende Interessenabwägung gestützt auf Art. 39 WRG (vgl. E. 4.2 hiervor) können schliesslich über eine blosse Erhöhung der Mindestrestwassermenge hinaus gebieten, auf die Fassung eines Fliessgewässers ganz zu verzichten.</w:t>
      </w:r>
    </w:p>
    <w:p>
      <w:r>
        <w:rPr>
          <w:b/>
        </w:rPr>
        <w:t>E. 5.3</w:t>
      </w:r>
    </w:p>
    <w:p>
      <w:r>
        <w:t>Die Beschwerdeführer beanstanden die Berechnung der Mindestrestwassermenge nach Art. 31 Abs. 1 GSchG durch die kantonalen Behörden nicht. Sie sind nach dem Gesagten jedoch der Auffassung, die Mindestrestwassermenge müsse gemäss Art. 31 Abs. 2 und Art. 33 GSchG erhöht werden und der mit dem Kraftwerksbau einhergehende Landschaftseingriff sei mit Art. 22 WRG nicht vereinbar. Wie es sich damit verhält, ist im Folgenden zu prüfen. Dabei ist zu berücksichtigen, dass sich eine allfällige Erhöhung der Restwassermenge im Gere- oder im Gonerliwasser direkt auf die Restwassermenge in der Goneri auswirkt, weshalb es angezeigt ist, das Augenmerk zunächst auf die beiden obenliegenden Gewässer zu legen.</w:t>
      </w:r>
    </w:p>
    <w:p>
      <w:r>
        <w:rPr>
          <w:b/>
        </w:rPr>
        <w:t>E. 6.1</w:t>
      </w:r>
    </w:p>
    <w:p>
      <w:r>
        <w:t>In einem ersten Schritt ist zu untersuchen, ob das Kantonsgericht eine Erhöhung der Mindestrestwassermenge zum Schutz seltener Lebensräume und -gemeinschaften hätte anordnen müssen ( Art. 31 Abs. 2 lit. c GSchG ). Die Beschwerdeführer rügen in dieser Hinsicht zum einen, der angefochtene Entscheid sei unzureichend begründet ( Art. 29 Abs. 2 BV ). Zum andern bringen sie vor, ihrer Fotodokumentation seien Hinweise auf schützenswerte Lebensräume zu entnehmen. Die Beschwerdegegnerin habe dazu jedoch keine Untersuchungen angestellt. Ihr Umweltverträglichkeitsbericht genüge insofern den Anforderungen von Art. 3 UVPV nicht.</w:t>
      </w:r>
    </w:p>
    <w:p>
      <w:r>
        <w:rPr>
          <w:b/>
        </w:rPr>
        <w:t>E. 6.2</w:t>
      </w:r>
    </w:p>
    <w:p>
      <w:r>
        <w:t>Das Kantonsgericht hält fest, es sei nach Art. 31 Abs. 2 lit. c GSchG keine Erhöhung der Mindestrestwassermenge erforderlich. Zur Begründung verweist es unter anderem auf den BGE 140 II 262 S. 274 Umweltverträglichkeitsbericht vom 17. Februar 2009, wo dargelegt wird, weshalb keine seltenen Lebensräume bestehen. Auch wenn sich das Kantonsgericht mit einem Verweis begnügte, erfüllte es seine Begründungspflicht. Das rechtliche Gehör verlangt nicht, dass sich die Behörde mit allen Parteistandpunkten einlässlich auseinandersetzt und jedes einzelne Vorbringen ausdrücklich widerlegt. Vielmehr kann sie sich auf die für den Entscheid wesentlichen Punkte beschränken. Die Beschwerdeführer wurden durch den Verweis und die Ausführungen im Umweltverträglichkeitsbericht in die Lage versetzt, sich über die Tragweite des Entscheids Rechenschaft zu geben und ihn in voller Kenntnis der Sache weiterzuziehen (vgl. BGE 136 I 229 E. 5.2 S. 236 mit Hinweisen). Die Rüge der Verletzung von Art. 29 Abs. 2 BV ist deshalb unbegründet.</w:t>
      </w:r>
    </w:p>
    <w:p>
      <w:r>
        <w:rPr>
          <w:b/>
        </w:rPr>
        <w:t>E. 6.3</w:t>
      </w:r>
    </w:p>
    <w:p>
      <w:r>
        <w:t>Art. 31 Abs. 2 lit. c GSchG zielt in erster Linie auf den Erhalt von inventarisierten Schutzzonen für seltene Lebensräume und -gemeinschaften ab (BBl 1987 II 1133 Ziff. 322.2). Die Vorschrift ist aber auch anwendbar, wenn keine Inventarisierung der seltenen Lebensräume und -gemeinschaften vorliegt (Bundesamt für Umwelt, Wald und Landschaft [BUWAL, heute: BAFU], Wegleitung: Angemessene Restwassermengen - Wie können sie bestimmt werden?, 2000, S. 42; MAURUS ECKERT, Rechtliche Aspekte der Sicherung angemessener Restwassermengen, 2002, S. 64 f.). Vorausgesetzt ist, dass es konkrete Anzeichen dafür gibt, dass mit den vorgesehenen Restwassermengen bestehende seltene Lebensräume und -gemeinschaften nicht erhalten werden könnten, wobei diesbezüglich mit der Pflicht zur UVP eine Untersuchungsobliegenheit einhergeht (vgl. Art. 10b Abs. 2 USG , Art. 3 und 9 UVPV ). Das BAFU geht in seiner Vernehmlassung davon aus, dass es keine Hinweise auf das Schutzbedürfnis von seltenen Lebensräumen gibt. Im Umweltverträglichkeitsbericht wird ausgeführt, dass die Uferbereiche der Restwasserstrecken des Gere- und des Gonerliwassers steil seien und offene Felsflächen aufwiesen. Die Ufervegetation sei kaum ausgeprägt. Die Ufer der Goneri, welche zudem teilweise stark kanalisiert sei, wiesen ebenfalls keine seltenen Lebensräume auf. An anderer Stelle ergänzt der Bericht diese Feststellungen mit einer ausführlichen Beschreibung der vom Projekt betroffenen Flora und Fauna, welche auch Artenlisten umfasst. Mit diesen Angaben sind die gesetzlichen Anforderungen an den Umweltverträglichkeitsbericht erfüllt worden. Eine weitergehende, insbesondere eine kartografische Erfassung sämtlicher Pflanzen und BGE 140 II 262 S. 275 Tiere im Projektbereich ist nicht erforderlich. Am Augenschein bestätigte sich zudem die erwähnte Beschreibung der Restwasserstrecken im Umweltverträglichkeitsbericht. Auch ergaben sich keine konkreten Hinweise auf seltene Lebensräume und -gemeinschaften im Uferbereich, die durch die Wasserreduktion gefährdet würden. Weitere Abklärungen erscheinen deshalb nicht als notwendig.</w:t>
      </w:r>
    </w:p>
    <w:p>
      <w:r>
        <w:rPr>
          <w:b/>
        </w:rPr>
        <w:t>E. 7.1</w:t>
      </w:r>
    </w:p>
    <w:p>
      <w:r>
        <w:t>Unter dem Titel von Art. 31 Abs. 2 lit. d GSchG beanstanden die Beschwerdeführer, dass mit den vorgesehenen Restwassermengen die Wanderung der Bachforelle im Gerewasser nicht gewährleistet sei. Die Mindestrestwassermenge des Gerewassers sei deshalb auf 750 l/s und für die Zeit der Laichwanderung von Oktober bis Dezember auf 1'800 l/s zu erhöhen. Sie stützen sich für diese Forderung auf das von ihnen in Auftrag gegebene Gutachten der Unternehmen X. und Y. GmbH (Gutachten X.), datierend vom 22. Februar 2012. Dieses basiert auf der Untersuchung eines angeblich repräsentativen Modellabschnitts von ca. 110 m Länge im unteren Bereich der Restwasserstrecke des Gerewassers.</w:t>
      </w:r>
    </w:p>
    <w:p>
      <w:r>
        <w:rPr>
          <w:b/>
        </w:rPr>
        <w:t>E. 7.2</w:t>
      </w:r>
    </w:p>
    <w:p>
      <w:r>
        <w:t>Im Gerewasser wie im Übrigen auch im Gonerliwasser und in der Goneri werden jährlich Jungfische ausgesetzt. Es handelt sich somit um Fischbesatzgewässer bzw. um Fischgewässer im Sinne des Gesetzes (vgl. BGE 119 Ib 254 E. 9g S. 283; Aquarius: Arbeitsgemeinschaft für Fischerei- und Umweltbiologie, Beurteilungshilfe zur Klassierung von Fliessgewässern als Nichtfischgewässer nach Art. 32 Bst. b GSchG, 2000, S. 2 und 5). Nach Art. 31 Abs. 2 lit. d GSchG muss deshalb die für die freie Fischwanderung erforderliche Wassertiefe gewährleistet sein. Dies setzt freilich voraus, dass im naturnahen Zustand die freie Fischwanderung überhaupt möglich ist (BBl 1987 II 1134 Ziff. 322.2; BUWAL, a.a.O., S. 38). Im Gonerliwasser ist dies wegen der hohen Abstürze nicht der Fall, wovon auch die Beschwerdeführer ausgehen. Laut dem Umweltverträglichkeitsbericht und der Stellungnahme des BAFU ist indessen auch das Gerewasser nicht fischgängig. Dieses weise ebenfalls einige grössere Abstürze auf. Zudem sei es aufgrund der geologischen Verhältnisse seines Einzugsgebiets bereits bei kleineren Hochwassern bedingt durch die hohe Menge an Schwebstoffen stark getrübt. Daher seien in der Restwasserstrecke bei natürlichen Bedingungen Ablagerungen auf der Sohle sichtbar. Das Gerewasser eigne sich deshalb als Laichgewässer nicht und eine Fischwanderung adulter Tiere finde nicht statt. Das BAFU weist zudem auf methodische BGE 140 II 262 S. 276 Schwachstellen des Gutachtens X. hin. So sei die darin gewählte Modellstrecke nicht ohne Weiteres repräsentativ für die weiteren Gewässerabschnitte und Ungenauigkeiten der Vermessungsaufnahmen von bis zu 5 cm (in der Höhe) könnten nicht ausgeschlossen werden. Die betreffenden Ergebnisse stellten im Übrigen lediglich eine Momentaufnahme dar, da im Gerewasser bei Hochwasser Geschiebe umgelagert werde. In ihrer Replik bekräftigen die Beschwerdeführer, die Messungen und Berechnungen für die Modellstrecke seien die zuverlässigsten Angaben, die vorlägen. Und die Feststellung bezüglich Schwebstoffen halten sie für gewagt, da die Hochwasser eher nicht in der Laichperiode vorkämen. Mit diesen Argumenten stellen sie indessen die plausible Annahme, dass auch in der Laichperiode Ablagerungen auf der Flusssohle bestehen, nicht in Frage. Damit gibt es keinen Grund, diesbezüglich von den Feststellungen des BAFU als fachkundiger Bundesbehörde abzuweichen, zumal diese im Ergebnis mit der Beurteilung durch die kantonale Fachstelle übereinstimmen (vgl. BGE 119 Ib 254 E. 8a S. 274 mit Hinweisen). Es ist deshalb davon auszugehen, dass das Gerewasser aufgrund der Abstürze, der durch Schwebstoffe verursachten Trübung und der damit einhergehenden Ablagerungen auf der Sohle als Laichgewässer ungeeignet ist und dass eine Wanderung adulter Fische nicht stattfindet. Art. 31 Abs. 2 lit. d GSchG kommt deshalb auf den Restwasserbereich des Gerewassers nicht zur Anwendung. Die betreffende Rüge der Beschwerdeführer ist unbegründet. Dass im Rahmen von Art. 31 Abs. 2 lit. d GSchG keine Erhöhung der Mindestrestwassermenge anzuordnen ist, bedeutet freilich nicht, dass die Auswirkungen der Wasserentnahme auf die Fische rechtlich unbeachtlich bliebe. Diese sind im Rahmen der Interessenabwägung nach Art. 33 GSchG und Art. 39 WRG zu berücksichtigen. Darauf ist im Folgenden einzugehen.</w:t>
      </w:r>
    </w:p>
    <w:p>
      <w:r>
        <w:rPr>
          <w:b/>
        </w:rPr>
        <w:t>E. 8.1</w:t>
      </w:r>
    </w:p>
    <w:p>
      <w:r>
        <w:t>Unter dem Titel der umfassenden Interessenabwägung ( Art. 33 GSchG und Art. 39 WRG ) und insbesondere des Landschaftschutzes ( Art. 22 WRG ) fordern die Beschwerdeführer eine Erhöhung der Mindestrestwassermenge und einen gänzlichen Verzicht auf die Fassung der Gonerli. Wohl habe der Staatsrat, wie gesetzlich vorgesehen, eine Interessenabwägung vorgenommen. Dabei habe er jedoch die wirtschaftlichen Interessen jenen am Naturschutz zu Unrecht vorangestellt. Das Kraftwerk habe indessen eine bloss lokale BGE 140 II 262 S. 277 Bedeutung. Es rechtfertige keinen Eingriff in ein noch weitestgehend intaktes Naturgebiet. Das Gonerliwasser, das vom Weg ins Gere- und Gonerlital sowie vom Weiler Gere bzw. vom Hungerberg gut einsehbar sei, bilde eine der wenigen unberührten und imposanten Kaskaden im Goms und sei landschaftlich sehr wertvoll. Eine Restwassermenge von 62 l/s würde dieses eindrückliche Landschaftselement zum Verschwinden bringen. Auch die Goneri und das Gerewasser seien teilweise einsehbar und das Rauschen vom Weg eindrücklich hörbar. Vor allem im Bereich der Brücke erscheine das Gerewasser als imposanter Bergbach. Die Wirkung der vorgesehenen Bauten (Fassungen, Entsander und Regulierbecken) sei völlig vernachlässigt worden. Diese Aspekte und die Frage der wirtschaftlichen Tragbarkeit fehlten im Restwasserbericht. Dieser genüge den Anforderungen von Art. 33 GSchG deshalb nicht.</w:t>
      </w:r>
    </w:p>
    <w:p>
      <w:r>
        <w:rPr>
          <w:b/>
        </w:rPr>
        <w:t>E. 8.2</w:t>
      </w:r>
    </w:p>
    <w:p>
      <w:r>
        <w:t>Art. 33 GSchG nennt in nicht abschliessender Weise Aspekte, welche in die umfassende Interessenabwägung einfliessen sollen. Interessen für die Wasserentnahme sind danach namentlich die öffentlichen Interessen, denen sie dienen soll, die wirtschaftlichen Interessen des Wasserherkunftsgebiets, die wirtschaftlichen Interessen desjenigen, der Wasser entnehmen will, sowie die Energieversorgung, wenn ihr die Wasserentnahme dienen soll (Abs. 2). Interessen gegen die Wasserentnahme sind namentlich die Bedeutung der Gewässer als Landschaftselement und als Lebensraum für die davon abhängige Tier- und Pflanzenwelt, die Erhaltung einer ausreichenden Wasserführung, um die Anforderungen an die Wasserqualität der Gewässer langfristig zu erfüllen, die Erhaltung eines ausgeglichenen Grundwasserhaushalts und die Sicherstellung der landwirtschaftlichen Bewässerung (Abs. 3). Wer einem Gewässer Wasser entnehmen will, hat der zuständigen Behörde einen Bericht zu unterbreiten über die Auswirkungen unterschiedlich grosser Wasserentnahmen auf die Interessen an der Wasserentnahme, insbesondere auf die Herstellung von elektrischer Energie und deren Kosten sowie über die voraussichtlichen Beeinträchtigungen der Interessen gegen eine Wasserentnahme und über mögliche Massnahmen zu deren Verhinderung (Abs. 4).</w:t>
      </w:r>
    </w:p>
    <w:p>
      <w:r>
        <w:rPr>
          <w:b/>
        </w:rPr>
        <w:t>E. 8.3</w:t>
      </w:r>
    </w:p>
    <w:p>
      <w:r>
        <w:t>Der von den Beschwerdeführern vorgelegte Restwasserbericht, der Teil des Umweltverträglichkeitsberichts bildet (Art. 35 Abs. 1 der Gewässerschutzverordnung vom 28. Oktober 1998 [GSchV; SR 814.201]), behandelt entgegen der Auffassung der Beschwerdeführer die voraussichtliche Beeinträchtigung der Landschaft durch das BGE 140 II 262 S. 278 Projekt (vgl. Art. 33 Abs. 4 lit. b GSchG ). Im Ergebnis wird im Bericht festgehalten, dass aufgrund des Überlaufs zwischen Mai und Oktober sowie des schluchtartigen Charakters des Gonerli- und des Gerewassers das Landschaftserlebnis nur sehr gering beeinträchtigt werde. Den Anforderungen von Art. 33 Abs. 4 GSchG ist insofern Genüge getan. Die Frage, ob die Feststellungen im Restwasserbericht tatsächlich zutreffen, beurteilt sich nach Abs. 1-3 von Art. 33 GSchG , nicht nach Abs. 4. Darauf ist weiter unten einzugehen. Diskutiert wird im Restwasserbericht auch die Frage der wirtschaftlichen Tragbarkeit, das heisst die Auswirkungen unterschiedlich grosser Wasserentnahmen auf die Interessen an der Wasserentnahme (vgl. Art. 33 Abs. 4 lit. a GSchG ). So werden im Zusatzbericht vom 2. Februar 2011 zum Umweltverträglichkeitsbericht die wirtschaftlichen Auswirkungen von vier Projektvarianten aufgeführt (Varianten 1a-1d, welche sich hinsichtlich der Wasserentnahme unterscheiden). Variante 1a beinhaltet die Fassung des Tällibachs, welche die Projektanten ursprünglich geplant hatten, auf die sie aber noch vor Verfassen des Umweltverträglichkeitsberichts verzichteten. Nach Variante 1b wird der Tällibach nicht gefasst, dafür im Bereich zwischen der Fassung des Gerewassers und dem Zufluss des Tällibachs eine Restwassermenge vorgesehen, die unter dem Minimum gemäss Art. 30 Abs. 1 GSchG liegt. Variante 1c schliesslich ist jene, die von der Beschwerdegegnerin gewählt wurde und somit Verfahrensgegenstand bildet. Sie basiert auf der Fassung des Gonerli- und des Gerewassers, wobei im Gegensatz zu Variante 1b bei Letzterem die Mindestrestwassermenge nach Art. 31 Abs. 1 GSchG eingehalten wird. Als Variante 1d wird im Umweltverträglichkeitsbericht im Sinne einer Modifikation von Variante 1c die deutliche Erhöhung der Restwassermenge im Gerewasser für die Monate Mai, September (je um 300 l/s), Oktober (um 200 l/s) und November (um 100 l/s) aufgeführt. Zur Wirtschaftlichkeit wird dargelegt, dass die Gestehungskosten bei Variante 1d bei 11,1 Rp./kWh liegen (bezogen auf eine Konzessionsdauer von 80 Jahren) und die kostendeckende Einspeisevergütung 11,85 Rp./kWh beträgt. Diese geringe Differenz zwischen den Gestehungskosten und der Einspeisevergütung reiche indessen nicht aus, um während der Vergütungsdauer jene erhöhten Abschreibungen vorzunehmen, die notwendig seien, um danach zu den deutlich tieferen Marktpreisen produzieren zu können. Die Wirtschaftlichkeit sei somit bei der Variante 1d nicht mehr gegeben. BGE 140 II 262 S. 279 Variante 1c sei dagegen wirtschaftlich, da bei dieser die Gestehungskosten mit rund 10,5 Rp./kWh tiefer seien. Am Augenschein ergänzte der Vertreter des BFE, der voraussichtliche Vergütungssatz für das Projekt (Variante 1c) betrage 12,6 Rp./kWh (vgl. zur kostendeckenden Einspeisevergütung E. 8.4.1 hiernach). Die Vergütung werde während 25 Jahren ausgerichtet, wobei das Werk in diesem Zeitraum nicht vollständig abgeschrieben werde. Die Beschwerdeführer machten zudem in ihrer Stellungnahme zum Augenscheinsprotokoll geltend, selbst bei einem Verzicht auf die Nutzung des Gonerliwassers und angemessenen Restwassermengen im Gerewasser könne noch eine Rendite von 3,5-4 % auf die Gesamtinvestitionen erzielt werden. Die Ausführungen im Restwasserbericht sind zum einen insofern unvollständig, als sie für das Gonerliwasser die Auswirkungen unterschiedlich grosser Wasserentnahmen ausblenden. Zum andern wird nicht aufgezeigt, bei welcher Restwassermenge die Grenze der wirtschaftlichen Tragbarkeit liegt. Zwar wird ausgehend von Variante 1c behauptet, weitere Abstriche seien aus Gründen der Wirtschaftlichkeit nicht mehr möglich, was nahelegt, dass Variante 1c die grösste, wirtschaftlich gerade noch tragbare Restwassermenge vorsieht. Doch wird diese Behauptung nicht weiter begründet. Sie erscheint zudem angesichts der Aussage der Beschwerdegegnerin am Augenschein, dass bei einer Konzessionsdauer von 80 Jahren mit einer Rentabilität von immerhin 5-6 % zu rechnen sei, nicht ohne Weiteres plausibel. Trotz dieser Mängel ist jedoch auf der Grundlage der Informationen in den Akten eine Beurteilung des Projekts und insbesondere eine umfassende Interessenabwägung unter Berücksichtigung der wirtschaftlichen Aspekte möglich, wie sich aus den folgenden Erwägungen ergibt.</w:t>
      </w:r>
    </w:p>
    <w:p>
      <w:r>
        <w:rPr>
          <w:b/>
        </w:rPr>
        <w:t>E. 8.4.1</w:t>
      </w:r>
    </w:p>
    <w:p>
      <w:r>
        <w:t>Das öffentliche Interesse an der Wasserentnahme gründet primär in der einheimischen Energieproduktion aus erneuerbaren Quellen ( Art. 33 Abs. 2 lit. a und d GSchG , Art. 89 Abs. 1 BV ; Urteil 1A.151/2002 vom 22. Januar 2003 E. 4.6, in: URP 2003 S. 235). Das Energiegesetz enthält eine ausdrückliche Zielvorgabe für die Erzeugung von Elektrizität aus erneuerbaren Energien im Allgemeinen und Wasserkraft im Besonderen. Gemäss Abs. 3 von Art. 1 EnG ist die durchschnittliche Jahreserzeugung von Elektrizität aus erneuerbaren Energien bis zum Jahr 2030 gegenüber dem Jahr 2000 um mindestens 5'400 GWh zu erhöhen (wobei der Bundesrat BGE 140 II 262 S. 280 Elektrizität, welche aus erneuerbaren Energien im Ausland erzeugt wurde, bis zu einem Anteil von 10 % diesem Ziel anrechnen kann). Abs. 4 definiert für Elektrizität aus Wasserkraftwerken für denselben Zeithorizont das Ziel einer Erhöhung um 2'000 GWh. Zu dessen Erreichung ist im Gesetz das Förderinstrument der kostendeckenden Einspeisevergütung (KEV) vorgesehen, von welcher auch die Wirtschaftlichkeit des von der Beschwerdegegnerin geplanten Kleinwasserkraftwerks abhängt (vgl. Art. 7a EnG und Art. 3 ff. der Energieverordnung vom 7. Dezember 1998 [EnV; SR 730.01]). Die KEV deckt für die Stromproduktion aus erneuerbaren Energien die Differenz zwischen dem (tieferen) Marktpreis und den (höheren) Gestehungskosten. Die der Berechnung der KEV zugrunde gelegten Gestehungskosten entsprechen dabei jenen von Referenzanlagen mit der effizientesten Technologie ( Art. 7a Abs. 2 EnG ). Die Vergütungsdauer berücksichtigt die Amortisation und beträgt bei Kleinwasserkraftanlagen 25 Jahre ( Art. 7a Abs. 2 lit. c EnG ; Ziff. 4.2 von Anhang 1.1 zur EnV). Das projektierte Kleinwasserkraftwerk dient der Erreichung des gesetzgeberischen Ziels, die Erzeugung von Elektrizität aus erneuerbaren Energien zu fördern. Der Gesetzgeber hat indessen der erwähnten Zielvorgabe und dem darauf gerichteten Förderungsinstrumentarium kein erhöhtes Gewicht gegenüber den ebenfalls in Verfassung und Gesetz verankerten Anliegen des Umwelt-, Natur- und Landschaftsschutzes verliehen (vgl. BGE 132 II 408 E. 4.5.1 S. 419). Es ist vielmehr davon auszugehen, dass jede Anlage, welche eine kostendeckende Einspeisevergütung beanspruchen will, alle gesetzlichen Anforderungen, insbesondere in den Bereichen des Umwelt-, Natur- und Landschaftsschutzes, von vornherein erfüllen muss (vgl. BFE, Wording zum Thema Kleinwasserkraftprojekte und kostendeckende Einspeisevergütung [KEV], 2009, www.bfe.admin.ch/dokumentation/publikationen [besucht am 11. April 2014]). Vor dem Hintergrund der in Art. 33 GSchG und Art. 39 WRG vorgesehenen Interessenabwägung bedeutet dies, dass vor allem Anlagen realisiert werden sollen, die mit möglichst geringen Eingriffen einen möglichst grossen Nutzen für die Stromproduktion bringen. Diese Zielsetzung stimmt weitgehend mit der Energiestrategie des Bundesrats überein. Dieser schlägt ein neues Energiegesetz vor, das den erneuerbaren Energien zu besseren Realisierungschancen verhelfen soll (Botschaft vom 4. September 2013 zum ersten Massnahmenpaket der Energiestrategie 2050 [Revision des Energierechts] und zur Volksinitiative "Für den geordneten Ausstieg aus der BGE 140 II 262 S. 281 Atomenergie [Atomausstiegsinitiative]", BBl 2013 7561). Eine Lockerung des Umweltschutz- und Gewässerschutzrechts wird damit jedoch nicht angestrebt (BBl 2013 7604 Ziff. 2.5.4). Auch ist es nicht die Ansicht des Bundesrats, dass sämtliche noch freien Standorte verbaut werden, erst recht nicht in Schutzgebieten (BBl 2013 7628 Ziff. 4.2.6). Bei der in jedem Einzelfall notwendigen Interessenabwägung sollen Kriterien wie Leistung oder Produktion sowie die Fähigkeit, zeitlich flexibel und marktorientiert zu produzieren, berücksichtigt werden (vgl. Art. 14 Abs. 5 des Gesetzesentwurfs, BBl 2013 7761 f.; vgl. auch BBl 2013 7666 Ziff. 5.1). Der Botschaft lässt sich im Ergebnis entnehmen, dass nach den Vorstellungen des Bundesrats gegenwärtig wie auch künftig dem untergeordneten Energiepotenzial von Kleinanlagen, namentlich wenn sie nur dank der kostendeckenden Einspeisevergütung finanziell tragbar sind, angemessen Rechnung zu tragen ist. Die Stromproduktion des geplanten Kraftwerks beträgt laut den Unterlagen der nationalen Netzgesellschaft ( Art. 3g EnV ) 30,9 GWh pro Kalenderjahr, was bei einem durchschnittlichen schweizerischen Pro-Kopf-Verbrauch von 7'376 kWh (Basis: Jahr 2012) den Bedarf von rund 4'200 Personen deckt (BFE, Schweizerische Elektrizitätsstatistik 2012, 2013, S. 24, www.bfe.admin.ch/dokumentation/publikationen [besucht am 11. April 2014]). Der Beitrag an die heimische Energieerzeugung ist somit eher gering (vgl. Urteil 1A.151/2002 vom 22. Januar 2003 E. 4.3 mit Hinweisen, in: URP 2003 S. 235). Ungünstig wirkt sich aus, dass die Sommerproduktion markant höher ist als die Winterproduktion, was die bereits bestehende Divergenz zwischen saisonaler Produktion und saisonalem Verbrauch in der Schweiz negativ beeinflusst (Produktionsüberhang im Sommer, Verbrauchsüberhang im Winter; vgl. BFE, a.a.O., S. 14; vgl. auch Urteil 1A.59/1995 vom 28. April 2000 E. 3d, in: URP 2000 S. 691, wonach der aktuellen energiepolitischen Situation Rechnung zu tragen ist). Eine weitere Verringerung des öffentlichen Interesses an der Wasserentnahme ergibt sich aus dem insgesamt geringen Gefälle der Restwasserstrecken. Der prognostizierten Energieproduktion steht mithin eine relativ lange beeinträchtigte Restwasserstrecke gegenüber. Für die Wasserentnahme sprechende Interessen sind zudem die wirtschaftlichen Interessen des Wasserherkunftsgebiets ( Art. 33 Abs. 2 lit. b GSchG ). Diese liegen primär in der Einnahme von Wasserzins und der durch das Projekt ausgelösten wirtschaftlichen BGE 140 II 262 S. 282 Wertschöpfung. Schliesslich sind auch die wirtschaftlichen Interessen der Beschwerdegegnerin selbst in die Abwägung miteinzubeziehen (vgl. Art. 33 Abs. 2 lit. c GSchG ). Auf deren Ausführungen zur Wirtschaftlichkeit verschiedener Projektvarianten mit unterschiedlichen Restwassermengen wurde bereits hingewiesen (E. 8.3 hiervor).</w:t>
      </w:r>
    </w:p>
    <w:p>
      <w:r>
        <w:rPr>
          <w:b/>
        </w:rPr>
        <w:t>E. 8.4.2</w:t>
      </w:r>
    </w:p>
    <w:p>
      <w:r>
        <w:t>Im Rahmen der gegen die Wasserentnahme sprechenden Interessen ist zunächst die Bedeutung der betroffenen Gewässer als Landschaftselement ( Art. 33 Abs. 3 lit. a GSchG ) zu beurteilen. Dabei fliessen auch die Vorgaben der Nutzungsplanung ein. Das Gere- und das Gonerliwasser liegen bis kurz nach ihrem Zusammentreffen in einem Landschaftsschutzgebiet von kantonaler Bedeutung (Landschaftsschutzgebiet Geren: "Mittaghorn-Piz Rotondo-Mutthörner", LK 1a). Der erläuternde Bericht zum Nutzungsplan der Gemeinde Oberwald vom 15./16. Mai 2004 wie auch der erläuternde Bericht zum noch nicht in Kraft stehenden Nutzungsplan der Gemeinde Obergoms beschreiben das Gebiet als schönes, wildes Alpental mit sehr reicher, vielfältiger Tierwelt und interessanter Flora. Dieser landschaftliche Aspekt fällt vorliegend besonders ins Gewicht, wie sogleich noch näher auszuführen sein wird. Indessen kann entgegen der Auffassung der Beschwerdeführer nicht schon aus dem Umstand, dass der erläuternde Bericht für das Landschaftsschutzgebiet Geren das Schutzziel "keine Wasserfassungen" vorsieht, auf die Unzulässigkeit des Projekts geschlossen werden, zumal ein erläuternder Bericht nach Art. 33 Abs. 4 des Gesetzes des Kantons Wallis vom 23. Januar 1987 zur Ausführung des Bundesgesetzes über die Raumplanung (SGS 701.1) keine Rechtsverbindlichkeit geniesst. Das Gonerliwasser bildet ein wertvolles Landschaftselement. Seine Kaskade verläuft in einer geschwungenen Geländestruktur, die in unmittelbarer Nähe zum Wasser kaum bewaldet, sondern vor allem mit Buschwerk versetzt ist. Das Gewässer ist deshalb gut sichtbar, insbesondere vom Weg ins Gere- und Gonerlital sowie vom Weiler Gere aus. Bei hoher Wasserführung, wie sie am Tag des Augenscheins bestand, bietet das Gonerliwasser mit seinen zahlreichen Abstürzen und dem aus der Ferne hörbaren Rauschen ein eindrückliches Naturschauspiel. Es ist zudem in keiner Weise baulich beeinträchtigt. Auch in seiner Umgebung befinden sich weder Häuser noch Strassen. Andere Siedlungseinflüsse sind ebenfalls nicht sichtbar. Einzig ein schmaler Fusspfad führt hinauf zum vorgesehenen Fassungsort. Durch die Reduktion auf eine Restwassermenge von 62 l/s würde das Gonerliwasser die Dynamik, welche seinen BGE 140 II 262 S. 283 landschaftlichen Reiz mit ausmacht, verlieren. Die Unterschiede zwischen der natürlichen Abflussmenge und der Restwassermenge sind bedeutend. Im August etwa stünde einem natürlichen mittleren Monatsabfluss von 748 l/s eine weniger als einen Zehntel betragende Restwassermenge gegenüber. Zwar ist im Winter die natürliche Abflussmenge deutlich kleiner und verringerte sich auch der Unterschied zur Restwassermenge, doch würde sich durch das Restwasserregime diese trockene Zeit erheblich verlängern. Lediglich im Juni und Juli sind die natürlichen mittleren Monatsabflüsse derart hoch, dass es zu einem Überlauf käme und sich Restwassermengen ergäben, welche über dem gesetzlichen Minimum liegen. Im Juni würde ein natürlicher mittlerer Abfluss von 1'298 l/s einer Restwassermenge von 448 l/s gegenüberstehen, während die entsprechenden Werte im Juli 1'106 l/s gegenüber 256 l/s betragen würden. Beim Gerewasser präsentiert sich der Verlust an natürlicher Dynamik ähnlich. Hier steht für den Monat August ein natürlicher mittlerer Monatsabfluss von 2'522 l/s einer Restwassermenge von 161 l/s gegenüber. Dieser Verlust wird indessen dadurch gemindert, dass kurz nach der Fassung der Tällibach ins Gerewasser mündet und so dessen Restwasser stark erhöht (im August um durchschnittlich 369 l/s). Zudem tritt das Gerewasser aufgrund der Geländestrukturen viel weniger prominent in Erscheinung als das Gonerliwasser. Wiederum im Gegensatz zum Gonerliwasser ist der Bereich des Gerewassers schliesslich durch menschliche Einflüsse deutlich vorbelastet: Es führt ein Fahrweg ins Geretal und im Bereich des vorgesehenen Fassungsstandorts besteht eine Brücke sowie ein kleines Gebäude auf einer aufgeschütteten Ebene. Hinsichtlich weiterer negativer Auswirkungen des Projekts, insbesondere auf Lebensräume ( Art. 33 Abs. 3 lit. b GSchG ), hält der Umweltverträglichkeitsbericht fest, es komme in der Restwasserstrecke wegen der reduzierten Wassermenge zu einer Verschlechterung der Längs- und Quervernetzung. Beeinträchtigt würden aquatische Lebensräume (Fische und Nährtiere) wie auch semiaquatische (Uferbereich). Die Reduktion des natürlichen Wasserabflusses habe zur Folge, dass die aquatischen Lebensräume in ihrer Fläche abnähmen. Zudem leide auch die Qualität der Lebensräume, da die natürlichen Variationen der Wassertiefen und der Fliessgeschwindigkeiten abnähmen. Insbesondere die hohen Fliessgeschwindigkeiten seien wichtig, um das Sohlesubstrat zu bewegen und zu durchlüften. Hingegen seien die Wasserentnahmen vorliegend für den BGE 140 II 262 S. 284 Grundwasserhaushalt und die landwirtschaftliche Bewässerung ( Art. 33 Abs. 3 lit. d und e GschG ) als nicht relevant einzustufen.</w:t>
      </w:r>
    </w:p>
    <w:p>
      <w:r>
        <w:rPr>
          <w:b/>
        </w:rPr>
        <w:t>E. 8.4.3</w:t>
      </w:r>
    </w:p>
    <w:p>
      <w:r>
        <w:t>Eine Abwägung aller erheblichen in Frage stehenden Interessen für und gegen die Wasserentnahme ergibt, dass die geplante Fassung des Gonerliwassers einen Landschaftseingriff darstellt, der nicht zu rechtfertigen ist. Dabei fällt besonders ins Gewicht, dass es sich um einen Ersteingriff handeln würde. Die durch die Klassifizierung als Landschaftsschutzgebiet von kantonaler Bedeutung bestätigte Schutzwürdigkeit ist insbesondere bei hoher Wasserführung offenkundig; die Kaskaden wirken auch aus der Distanz äusserst eindrücklich. Der Beitrag, den das Gonerliwasser gemäss den Akten an die Elektrizitätsproduktion leisten würde, ist dagegen bescheiden. Er rechtfertigt den Verlust des Charakters dieses bisher noch ganz unberührten Gewässers nicht. Anders ist die Situation bezüglich des Gerewassers. Das Interesse an dessen Nutzung fällt aufgrund der grösseren Wassermenge stärker ins Gewicht als beim Gonerliwasser. Die Restwasserstrecke ist zudem in verschiedener Hinsicht bereits von menschlichen Eingriffen betroffen. Dies gilt insbesondere für den Bereich der geplanten Wasserfassung im Geretal. Die Restwasserstrecke ist auch weniger gut einsehbar, so dass die landschaftliche Wirkung der Wasserentnahme weniger gross ist. Dass der Tällibach kurz nach der Wasserfassung ins Gerewasser mündet, führt zu einer verbesserten Gewässerdynamik und mildert die landschaftliche Beeinträchtigung. Auch die Verschlechterung der Lebensbedingungen für Wassertiere, insbesondere für Fische (vgl. E. 7.2 hiervor), fällt dadurch weniger stark aus. Insgesamt überwiegen deshalb die Interessen an der Wasserentnahme, auch wenn diese nach dem Ausgeführten aus gesamtwirtschaftlicher Sicht nicht als besonders gewichtig zu bewerten sind. Während die Fassung des Gerewassers somit im Rahmen des Projekts der Beschwerdegegnerin mit Art. 22 und 39 WRG sowie Art. 33 GSchG vereinbar ist, ist es die Fassung des Gonerliwassers nicht. Der angefochtene Entscheid verstösst insofern gegen Bundesrecht.</w:t>
      </w:r>
    </w:p>
    <w:p>
      <w:r>
        <w:rPr>
          <w:b/>
        </w:rPr>
        <w:t>E. 8.4.4</w:t>
      </w:r>
    </w:p>
    <w:p>
      <w:r>
        <w:t>Die Beschwerdegegnerin geht davon aus, dass bei einem Verzicht auf die Nutzung des Gonerliwassers das Projekt nicht mehr wirtschaftlich ist, zumal die Kosten nur rund 10 % der gesamten Investitionskosten ausmachten, der Anteil an der Stromproduktion aber einen Viertel bis einen Drittel betrage. Ob dies zutrifft, lässt sich aufgrund der Akten nicht beurteilen, da entsprechende BGE 140 II 262 S. 285 Berechnungen fehlen. Es ist auch nicht entscheidend: Selbst wenn das Werk dadurch unrentabel würde, wäre nach den vorangehenden Erwägungen auf die Fassung des Gonerliwassers zu verzichten. Es wird Sache der Beschwerdegegnerin sein zu prüfen, ob und inwiefern ihr Projekt angepasst werden könnte, damit es einerseits wirtschaftlich ist, andererseits aber auch die bundesrechtlichen Vorschriften zum Umwelt-, Natur- und Heimatschutz einhält. Beim vorliegenden Zwischenergebnis erübrigt sich, auf die von den Beschwerdeführern vorgetragene Rüge einzugehen, wonach die Verlegung der Leitung zur Fassung des Gonerliwassers Art. 18 Abs. 1 ter NHG verletzt. Mit der Fassung des Gonerliwassers entfällt auch die Leitung zwischen dieser und der Fassung des Gerewassers.</w:t>
      </w:r>
    </w:p>
    <w:p>
      <w:r>
        <w:rPr>
          <w:b/>
        </w:rPr>
        <w:t>E. 9.1</w:t>
      </w:r>
    </w:p>
    <w:p>
      <w:r>
        <w:t>Die Beschwerdeführer tragen mehrere Rügen in Bezug auf die Restwassermenge in der Goneri vor, so etwa hinsichtlich der für die freie Fischwanderung erforderlichen Wassertiefe ( Art. 31 Abs. 1 lit. d GSchG ). Angesichts des Wegfalls der Fassung des Gonerliwassers erübrigen sich dazu vertiefte Ausführungen, zumal sich die Wassermenge in der Goneri dadurch erhöht. Im Hinblick auf eine allfällige Anpassung des Projekts durch die Beschwerdegegnerin sind jedoch folgende Ergänzungen angezeigt.</w:t>
      </w:r>
    </w:p>
    <w:p>
      <w:r>
        <w:rPr>
          <w:b/>
        </w:rPr>
        <w:t>E. 9.2</w:t>
      </w:r>
    </w:p>
    <w:p>
      <w:r>
        <w:t>Die Beschwerdeführer rügen auch bei der Goneri die vorinstanzliche Interessenabwägung nach Art. 33 GSchG und Art. 22 WRG . In dieser Hinsicht ist ähnlich wie beim Gerewasser zu berücksichtigen, dass es sich nicht um eine unberührte Landschaft handelt. Entlang der gesamten Restwasserstrecke führt eine 3. Klass-Strasse und im unteren Bereich ist die Goneri stark verbaut. Nur ein sehr kurzes Stück im obersten Bereich wird vom Landschaftsschutzgebiet kantonaler Bedeutung LK 1a erfasst. Weitergehende Massnahmen zum Schutz der Landschaft drängen sich bei diesen Gegebenheiten ebenso wenig auf wie beim Gerewasser.</w:t>
      </w:r>
    </w:p>
    <w:p>
      <w:r>
        <w:rPr>
          <w:b/>
        </w:rPr>
        <w:t>E. 9.3</w:t>
      </w:r>
    </w:p>
    <w:p>
      <w:r>
        <w:t>Die Beschwerdeführer erachten Art. 18 Abs. 1 ter NHG als verletzt, weil weder eine umfassende Revitalisierung des Unterlaufs der Goneri noch dessen Vernetzung mit der weiter oben liegenden, natürlicheren Restwasserstrecke angeordnet worden sei. Gemäss dem Zusatzbericht vom 2. Februar 2011 zum Umweltverträglichkeitsbericht ist vorgesehen, im Unterlauf der Goneri, das heisst von der Wasserrückgabe bei der Zentrale bis zur Mündung in BGE 140 II 262 S. 286 die Rhone, die bestehenden Schwellen fischgängig zu machen (wobei die Kosten auf Fr. 70'000.-bis Fr. 100'000.-geschätzt werden). Der Staatsrat erklärte diese Kompensationsmassnahme im Sinne von Art. 18 Abs. 1 ter NHG für verbindlich. Art. 18 Abs. 1 ter NHG verlangt bei Eingriffen in schutzwürdige Lebensräume einen angemessenen Ersatz, soweit nicht Massnahmen zum Schutz oder zur Wiederherstellung ausreichen. Für zerstörte Biotope soll somit, wenn sie sich nicht erhalten oder wiederherstellen lassen, ein möglichst gleichwertiger Ersatz geschaffen werden (Urteil 1A.82/1999 vom 19. November 1999 E. 4a mit Hinweis, in: URP 2000 S. 369; vgl. in Bezug auf Bachforellen: Urteil 1C_371/2012 vom 30. Mai 2013 E. 5.8). Unbesehen des angeordneten Verzichts auf die Fassung des Gonerliwassers erscheinen die Beeinträchtigungen, welche die Tier- und Pflanzenwelt durch das Projekt erfährt und welchen nicht durch Schutz- und Wiederherstellungsmassnahmen begegnet wird, nicht als gross. Wie bereits dargelegt, ist das Gerewasser (wie auch das Gonerliwasser) ohnehin nicht fischgängig. Die Goneri ist im oberen Bereich fischgängig, wobei das Projekt hier durch die Reduktion des Wasserabflusses eine gewisse Verschlechterung mit sich bringt. Diese Verschlechterung wird jedoch nach Ansicht der kantonalen Fachbehörde hinreichend kompensiert, indem im unteren Bereich der Goneri die Fischgängigkeit wieder hergestellt wird. Die Kritik der Beschwerdeführer gibt keinen Anlass, von dieser Einschätzung abzuweichen. Eine umfassende Revitalisierung und eine Vernetzung mit dem oberen Gewässerbereich, die im Übrigen auch eine Messstation des BAFU betreffen würde, ginge über die Anforderungen von Art. 18 Abs. 1 ter NHG hinaus. Die Rüge ist unbegründet.</w:t>
      </w:r>
    </w:p>
    <w:p>
      <w:r>
        <w:rPr>
          <w:b/>
        </w:rPr>
        <w:t>E. 10.1</w:t>
      </w:r>
    </w:p>
    <w:p>
      <w:r>
        <w:t>Die Beschwerdeführer rügen die ihrer Ansicht nach übermässig lange Konzessionsdauer von 80 Jahren und beantragen deren Reduktion auf 40 Jahre. Sie machen geltend, die Konzessionärin werde für das von ihr geplante Wasserkraftwerk während 25 Jahren von der KEV profitieren und die Anlage innerhalb dieser Zeit amortisieren können.</w:t>
      </w:r>
    </w:p>
    <w:p>
      <w:r>
        <w:rPr>
          <w:b/>
        </w:rPr>
        <w:t>E. 10.2</w:t>
      </w:r>
    </w:p>
    <w:p>
      <w:r>
        <w:t>Das Kantonsgericht führt aus, bei der Festlegung der Konzessionsdauer handle es sich um eine zweiseitige Bestimmung. Die Autonomie der konzedierenden Behörde und des Konzessionärs werde in diesem Bereich nur durch die von Art. 58 WRG vorgesehene BGE 140 II 262 S. 287 Maximaldauer von 80 Jahren beschränkt. Zweck der Beschränkung sei es, dass sich das Gemeinwesen nicht seiner Rechte und seiner Hoheit entäussere, wobei die Maximaldauer es dem Konzessionär aber auch erlauben solle, seine ökonomischen Interessen zu wahren und insbesondere seine Investitionen zu amortisieren. Das Kantonsgericht weist zudem mit Blick auf die von den Beschwerdeführern wahrgenommenen Interessen des Gewässerschutzes, der Fischerei und des Naturschutzes darauf hin, dass unter gewissen Voraussetzungen auch nachträglich noch Massnahmen zu deren Schutz angeordnet werden könnten. All dies habe sich mit der Einführung der KEV nicht geändert. Folgte man der Ansicht der Beschwerdeführer, so würde Art. 58 WRG seines Gehalts entleert.</w:t>
      </w:r>
    </w:p>
    <w:p>
      <w:r>
        <w:rPr>
          <w:b/>
        </w:rPr>
        <w:t>E. 10.3</w:t>
      </w:r>
    </w:p>
    <w:p>
      <w:r>
        <w:t>Die Konzessionsdauer von 80 Jahren entspricht der gesetzlichen Höchstdauer von Konzessionen für die Wasserkraftnutzung nach Art. 58 WRG . Wie die Vorinstanz richtig darlegte, wollte der Gesetzgeber mit der Maximaldauer verhindern, dass sich das Gemeinwesen dieses Hoheitsrechts entäussert. Der gesetzliche Rahmen wurde so gewählt, dass die ökonomischen Interessen der Konzessionärin gewahrt bleiben, namentlich im Hinblick auf die Amortisation der getätigten Investitionen (vgl. BGE 130 II 18 E. 3.2 S. 22; BGE 127 II 69 E. 4c S. 74 f. und E. 5b S. 76 f. mit Hinweisen). Dies bedeutet indessen nicht, dass im Einzelfall die Konzessionsdauer nach der voraussichtlichen Amortisationsdauer bestimmt werden müsste. Eine derartige Auslegung lässt sich aus dem mit dem Erlass von Art. 58 WRG verfolgten öffentlichen Interesse nicht ableiten. Die Bestimmung der Dauer der Konzession liegt vielmehr im Ermessen des konzedierenden Gemeinwesens und ist gleichzeitig Gegenstand der Vereinbarung der Parteien. Mithin steht eine Konzessionsdauer, die länger oder auch deutlich länger ist als die voraussichtliche Amortisationsdauer, deswegen nicht im Widerspruch zu Art. 58 WRG . An dieser Rechtslage hat sich mit der Einführung der kostendeckenden Einspeisevergütung nichts geändert (Urteil 1C_371/2012 vom 30. Mai 2013 E. 6.4 mit Hinweis). Das Förderinstrument hat für die Festsetzung der Konzessionsdauer keine Bedeutung. Die Rüge der Beschwerdeführer ist deshalb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