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651</w:t>
      </w:r>
    </w:p>
    <w:p>
      <w:r>
        <w:t>Bundesgericht (BGE), 2014-11-18, DE</w:t>
      </w:r>
    </w:p>
    <w:p>
      <w:r>
        <w:rPr>
          <w:b/>
        </w:rPr>
        <w:t xml:space="preserve">Quelle: </w:t>
      </w:r>
      <w:r>
        <w:t>https://mcp.opencaselaw.ch/entscheid/bge_BGE_140_III_651</w:t>
      </w:r>
    </w:p>
    <w:p>
      <w:r>
        <w:t>FR: ATF 140 III 651</w:t>
      </w:r>
    </w:p>
    <w:p>
      <w:r>
        <w:t>IT: DTF 140 III 651</w:t>
      </w:r>
    </w:p>
    <w:p>
      <w:pPr>
        <w:pStyle w:val="Heading2"/>
      </w:pPr>
      <w:r>
        <w:t>Regeste</w:t>
      </w:r>
    </w:p>
    <w:p>
      <w:r>
        <w:t>Regeste Art. 204 Abs. 1 SchKG; Ungültigkeit von Rechtshandlungen des Gemeinschuldners; Wirkung für die Konkursverwaltung bzw. die Gläubigergesamtheit und Dritte. Die Konkursverwaltung kann bereits vollzogene Leistungen vom Vertragspartner des Gemeinschuldners zurückverlangen, muss jedoch mangels Besitzes allenfalls den Prozessweg beschreiten. Die Konkursverwaltung ist nicht befugt, den Vertragspartner, der an den in seinen Besitz gelangten Vermögenswerten Eigentum geltend macht, mittels amtlicher Verfügung unter Strafandrohung zur Herausgabe dieser Vermögenswerte aufzufordern (E. 4).</w:t>
      </w:r>
    </w:p>
    <w:p>
      <w:r>
        <w:t>Regeste Art. 204 al. 1 LP; nullité d'actes de disposition du failli; effet pour l'administration de la faillite, respectivement pour la communauté des créanciers et les tiers. L'administration de la faillite peut exiger du cocontractant du failli la restitution de prestations déjà effectuées, mais doit cependant, faute de possession, agir cas échéant en justice. L'administration de la faillite n'est pas habilitée à exiger du cocontractant, qui fait valoir son droit de propriété sur les valeurs patrimoniales parvenues en sa possession, la restitution de ces valeurs par le biais d'une décision officielle assortie de la menace d'une sanction pénale (consid. 4).</w:t>
      </w:r>
    </w:p>
    <w:p>
      <w:r>
        <w:t>Regesto Art. 204 cpv. 1 LEF; nullità degli atti giuridici del fallito; effetti per l'amministrazione del fallimento rispettivamente per la comunione dei creditori ed i terzi. L'amministrazione del fallimento può reclamare dal cocontraente del fallito la restituzione delle prestazioni già effettuate; essa deve però, in assenza del possesso, eventualmente adire la via giudiziaria. L'amministrazione del fallimento non è autorizzata ad intimare al cocontraente, che fa valere un diritto di proprietà sui valori patrimoniali giunti in suo possesso, la restituzione di tali valori mediante un provvedimento ufficiale con la comminatoria di sanzioni penali (consid. 4).</w:t>
      </w:r>
    </w:p>
    <w:p>
      <w:pPr>
        <w:pStyle w:val="Heading2"/>
      </w:pPr>
      <w:r>
        <w:t>Erwägungen</w:t>
      </w:r>
    </w:p>
    <w:p>
      <w:r>
        <w:rPr>
          <w:b/>
        </w:rPr>
        <w:t>E. 3</w:t>
      </w:r>
    </w:p>
    <w:p>
      <w:r>
        <w:t>Das Bundesgericht kann im Rahmen einer bei ihm hängigen und zulässigen Beschwerde nach Art. 72 Abs. 2 lit. a BGG die allfällige Nichtigkeit einer Verfügung prüfen und feststellen (vgl. Botschaft vom 28. Februar 2001 zur Totalrevision der Bundesrechtspflege, BBl 2001 4357). Verfügungen, mit denen die Vollstreckungsbehörden offensichtlich ihre sachliche Zuständigkeit überschreiten, sind nichtig ( BGE 111 III 56 E. 3 S. 61).</w:t>
      </w:r>
    </w:p>
    <w:p>
      <w:r>
        <w:rPr>
          <w:b/>
        </w:rPr>
        <w:t>E. 4</w:t>
      </w:r>
    </w:p>
    <w:p>
      <w:r>
        <w:t>Die zivilrechtlichen Betrachtungen des Beschwerdeführers, in denen er - entgegen der Erörterungen der Vorinstanz - auf einem gutgläubigen Erwerb der Fahrzeuge beharrt, sind im vorliegenden BGE 140 III 651 S. 653 Beschwerdeverfahren nicht relevant, lag es doch nicht in der sachlichen Kompetenz der Aufsichtsbehörden, die Frage zu klären, was diesbezüglich materiell rechtens ist (vgl. COMETTA/MÖCKLI, in: Basler Kommentar, Bundesgesetz über Schuldbetreibung und Konkurs, Bd. I, 2. Aufl. 2010, N. 9 ff. zu Art. 17 SchKG ). Entscheidend ist hingegen, dass auch das Konkursamt selbst über den umstrittenen Eigentumsanspruch keinen Entscheid im Sinne eines autoritativen Befehls zu Lasten des Beschwerdeführers treffen konnte:</w:t>
      </w:r>
    </w:p>
    <w:p>
      <w:r>
        <w:rPr>
          <w:b/>
        </w:rPr>
        <w:t>E. 4.1</w:t>
      </w:r>
    </w:p>
    <w:p>
      <w:r>
        <w:t>Gemäss Art. 204 Abs. 1 SchKG sind Rechtshandlungen, welche der Gemeinschuldner nach der Konkurseröffnung in Bezug auf Vermögensstücke, die zur Konkursmasse gehören, vornimmt, den Konkursgläubigern gegenüber ungültig. Die Konkursverwaltung kann Verfügungen des Schuldners als für sie nicht verbindlich betrachten (vgl. BGE 132 III 432 E. 2.4 S. 435). Bereits vollzogene Leistungen kann die Konkursverwaltung vom Vertragspartner des Gemeinschuldners zurückverlangen; sie muss jedoch mangels Besitzes allenfalls den Prozessweg beschreiten. Nach der Rechtsprechung und herrschenden Lehre ist die Konkursverwaltung nicht befugt, den Vertragspartner, der an den in seinen Besitz gelangten Vermögenswerten Eigentum geltend macht, mittels amtlicher Verfügung zur Herausgabe derselben aufzufordern oder ihm gegenüber polizeilichen Zwang anzuwenden (vgl. BGE 53 III 104 ; Urteil 7B.53/2006 vom 8. August 2006 E. 3.1; GILLIÉRON, Poursuite pour dettes, faillite et concordat, 5. Aufl. 2012, Rz. 1668; WOHLFART/MEYER, in: Basler Kommentar, Bundesgesetz über Schuldbetreibung und Konkurs, Bd. II, 2. Aufl. 2010, N. 23 f. zu Art. 204 SchKG ; ISABELLE ROMY, in: Commentaire romand, Poursuite et faillite, 2005, N. 15 zu Art. 204 SchKG ; STÖCKLI/POSSA, in: SchKG, 2. Aufl. 2014, N. 13 zu Art. 204 SchKG ; FRITZSCHE/WALDER, Schuldbetreibung und Konkurs nach Schweizerischem Recht, Bd. II, 3. Aufl. 1993, § 40 Rz. 6 S. 118; SYLVAIN MARCHAND, Précis de droit des poursuites, 2. Aufl. 2013, S. 138).</w:t>
      </w:r>
    </w:p>
    <w:p>
      <w:r>
        <w:rPr>
          <w:b/>
        </w:rPr>
        <w:t>E. 4.2</w:t>
      </w:r>
    </w:p>
    <w:p>
      <w:r>
        <w:t>Nach unbestritten gebliebener vorinstanzlicher Feststellung befanden sich die Fahrzeuge zwar bis zur Konkurseröffnung vom 19. August 2013 ausschliesslich im Gewahrsam des Gemeinschuldners und danach in demjenigen der Masse. In der Folge ist er jedoch auf den Beschwerdeführer übergegangen, der geltend macht, er sei durch Art. 714 Abs. 2 i.V.m. Art. 933 ZGB in seinem Erwerb geschützt. Die entstandene Meinungsverschiedenheit betrifft eine Frage des materiellen Rechts, die mangels sachlicher Zuständigkeit weder von der Konkursverwaltung noch von der Aufsichtsbehörde, sondern BGE 140 III 651 S. 654 ausschliesslich vom Sachrichter zu entscheiden ist. Das Konkursamt war nicht befugt, dem Beschwerdeführer die Pflicht zur Ablieferung der Fahrzeuge durch eine Verfügung im Sinne von Art. 17 SchKG aufzuerlegen. Die Erklärung des Konkursamts vom 29. Oktober 2013 kann daher nur als Bekanntgabe eines Parteistandpunktes aufrechterhalten werden (vgl. BGE 123 III 335 E. 1 S. 336; 76 III 45 E. 1 S. 50). Soweit diese Erklärung den Charakter einer behördlichen Verfügung hat, ist sie als ausserhalb der Amtsbefugnisse getroffene Massnahme nichtig (s. oben E. 3 und 4.1). Somit ist festzustellen, dass die strittige Erklärung des Konkursamts, der Beschwerdeführer habe die Fahrzeuge abzuliefern, keine Wirkung einer behördlichen Verfügung nach Art. 17 SchKG hat, und gleichzeitig der Entscheid der oberen Aufsichtsbehörde über das Betreibungs- und Konkursamt vom 10. April 2014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