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485</w:t>
      </w:r>
    </w:p>
    <w:p>
      <w:r>
        <w:t>Bundesgericht (BGE), 2014-08-21, DE</w:t>
      </w:r>
    </w:p>
    <w:p>
      <w:r>
        <w:rPr>
          <w:b/>
        </w:rPr>
        <w:t xml:space="preserve">Quelle: </w:t>
      </w:r>
      <w:r>
        <w:t>https://mcp.opencaselaw.ch/entscheid/bge_BGE_140_III_485</w:t>
      </w:r>
    </w:p>
    <w:p>
      <w:r>
        <w:t>FR: ATF 140 III 485</w:t>
      </w:r>
    </w:p>
    <w:p>
      <w:r>
        <w:t>IT: DTF 140 III 485</w:t>
      </w:r>
    </w:p>
    <w:p>
      <w:pPr>
        <w:pStyle w:val="Heading2"/>
      </w:pPr>
      <w:r>
        <w:t>Regeste</w:t>
      </w:r>
    </w:p>
    <w:p>
      <w:r>
        <w:t>Regeste Vorsorgliche Massnahmen im Scheidungsverfahren; Ehegattenunterhalt; Sparquote (Art. 276 ZPO; Art. 163 und 176 ZGB; Art. 9 BV). Anforderungen an den Nachweis der Sparquote. Deren Berücksichtigung setzt insbesondere eine konkrete Berechnung des Bedarfs der Ehegatten während des Zusammenlebens bzw. der beiden Haushalte nach Aufhebung des gemeinsamen ehelichen Haushalts voraus. Wird der Bedarf nicht konkret berechnet, sondern auf die zweistufige Methode der Existenzminimumsberechnung mit Überschussverteilung zurückgegriffen, ist die Berücksichtigung einer behaupteten, aber weder im Grundsatz noch betragsmässig glaubhaft gemachten Sparquote willkürlich (E. 3). Willkür im Ergebnis im konkreten Fall bejaht (E. 4.5).</w:t>
      </w:r>
    </w:p>
    <w:p>
      <w:r>
        <w:t>Regeste Mesures provisionnelles dans la procédure en divorce; entretien de l'époux; quote-part d'épargne (art. 276 CPC; art. 163 et 176 CC; art. 9 Cst.). Exigences quant à la preuve de la quote-part d'épargne. La prise en compte de celle-ci implique en particulier un calcul concret des besoins des époux durant la vie commune, respectivement des charges afférentes aux deux ménages une fois la vie commune suspendue. Lorsque les besoins ne sont pas calculés de manière concrète, mais en ayant recours à la méthode en deux étapes du minimum vital avec répartition de l'excédent, il est arbitraire de prendre en compte une part d'épargne alléguée, mais qui n'est rendue vraisemblable ni dans son principe ni dans son montant (consid. 3). Arbitraire dans le résultat retenu dans le cas concret (consid. 4.5).</w:t>
      </w:r>
    </w:p>
    <w:p>
      <w:r>
        <w:t>Regesto Provvedimenti cautelari nella procedura di divorzio; mantenimento fra coniugi; quota destinata al risparmio (art. 276 CPC; art. 163 e 176 CC; art. 9 Cost.). Esigenze quanto alla prova della quota destinata al risparmio. La presa in considerazione di tale quota presuppone in particolare un calcolo concreto del fabbisogno dei coniugi durante la vita in comune, rispettivamente di entrambe le economie domestiche dopo la sospensione della comunione domestica. Se il fabbisogno non è calcolato in modo concreto, bensì ricorrendo al metodo del minimo esistenziale con ripartizione dell'eccedenza, è arbitrario prendere in considerazione una quota destinata al risparmio che è stata asserita, ma non resa verosimile né sul principio né sull'ammontare (consid. 3). Risultato arbitrario ammesso nel caso concreto (consid. 4.5).</w:t>
      </w:r>
    </w:p>
    <w:p>
      <w:pPr>
        <w:pStyle w:val="Heading2"/>
      </w:pPr>
      <w:r>
        <w:t>Erwägungen</w:t>
      </w:r>
    </w:p>
    <w:p>
      <w:r>
        <w:rPr>
          <w:b/>
        </w:rPr>
        <w:t>E. 3.1</w:t>
      </w:r>
    </w:p>
    <w:p>
      <w:r>
        <w:t>Die Beschwerdeführerin beanstandet einzig die Berücksichtigung einer Sparquote als willkürlich ( Art. 9 BV ) bzw. gegen den BGE 140 III 485 S. 487 Gleichheitsgrundsatz verstossend ( Art. 8 Abs. 1 BV ). Sie macht im Wesentlichen geltend, beide kantonalen Instanzen hätten sich bei der Unterhaltsbemessung richtigerweise für die Methode des betreibungsrechtlichen Existenzminimums mit Überschussverteilung entschieden. Der Beschwerdegegner habe im Verfahren nie eine Sparquote behauptet, geschweige denn eine solche nachgewiesen. Sie habe das Obergericht in der Berufung darauf angesprochen; die Vorinstanz habe die Beanstandung mit der Bemerkung abgetan, die Sparquote sei offenbar in der Sühneverhandlung diskutiert worden. Der Beschwerdegegner habe zwar im Rahmen der Befragung erklärt, es habe eine hohe Sparquote bestanden; doch sei nie ein Betrag genannt und anlässlich der Verhandlung die Sparquote nicht weiter thematisiert worden. Auch wenn im Massnahmeverfahren die Untersuchungsmaxime gelte, treffe die Parteien eine Mitwirkungspflicht, welcher der Beschwerdegegner nicht nachgekommen sei. Im Übrigen würden die Kinder mit der vorgenommenen Überschussverteilung auch nicht privilegiert.</w:t>
      </w:r>
    </w:p>
    <w:p>
      <w:r>
        <w:rPr>
          <w:b/>
        </w:rPr>
        <w:t>E. 3.2</w:t>
      </w:r>
    </w:p>
    <w:p>
      <w:r>
        <w:t>Der Beschwerdegegner bringt im Wesentlichen vor, die Sparquote sei in dem Sinne rechtsgenügend behauptet und belegt worden, als seitens beider Parteien sämtliche Einkommens- und Bedarfspositionen dargelegt worden seien. Erst basierend darauf könne die Sparquote ermittelt werden. Überdies habe bei der "einstufig konkreten Methode" keine Veranlassung bestanden, die Sparquote nachzuweisen. Entgegen der Behauptung der Beschwerdeführerin hätten die kantonalen Instanzen die Methode des betreibungsrechtlichen Existenzminimums mit Überschussverteilung nicht in ihrer reinen Form angewandt. Der erstinstanzliche Richter habe anlässlich der Verhandlung vom 27. Mai 2013 denn auch erkannt, dass bei so guten finanziellen Verhältnissen der Unterhalt nicht nach der besagten Methode bestimmt werden könne. Die gewählte Methode erscheine auch dogmatisch nicht völlig korrekt, zumal bei guten finanziellen Verhältnissen nach der sogenannten einstufig-konkreten Methode vorzugehen sei. Auf diese Weise seien die kantonalen Instanzen verfahren, indem sie nicht auf den existenzrechtlichen Bedarf abgestellt, sondern auch Ferien und Soziales sowie die Kosten für ein Auto ohne Kompetenzcharakter berücksichtigt hätten. Der Bedarf der Beschwerdeführerin sei im Sinne eines gebührenden Unterhalts festgesetzt worden. Der Beschwerdegegner legt sodann aufgrund eigener Berechnungen dar, weshalb der Entscheid seiner Ansicht nach nicht willkürlich ist. BGE 140 III 485 S. 488</w:t>
      </w:r>
    </w:p>
    <w:p>
      <w:r>
        <w:rPr>
          <w:b/>
        </w:rPr>
        <w:t>E. 3.3</w:t>
      </w:r>
    </w:p>
    <w:p>
      <w:r>
        <w:t>Der Unterhalt, um den es hier geht, knüpft an den in der Ehe zuletzt, bis zur Aufhebung des gemeinsamen Haushalts gelebten Standard an, auf dessen Fortführung bei genügenden Mitteln beide Ehegatten Anspruch haben ( BGE 119 II 314 E. 4b/aa S. 318). Man spricht in diesem Zusammenhang auch vom gebührenden Unterhalt. Was sodann die Bemessung des elterlichen Unterhaltsbeitrages betrifft, sind die Grundsätze im Kindesrecht geregelt. Der Unterhaltsbeitrag soll den Bedürfnissen des Kindes sowie der Lebensstellung und Leistungsfähigkeit der Eltern entsprechen ( Art. 285 Abs. 1 ZGB ; BGE 137 III 59 E. 4.2.1 S. 62). Das Gesetz schreibt keine bestimmten Methoden für die Berechnung von Unterhaltsbeiträgen vor. Ausgangspunkt ist indes der gebührende Unterhalt der unterhaltsberechtigten Person, auf den sie bei genügenden Mitteln Anspruch hat. Der Unterhaltsbeiträge beanspruchende Ehegatte muss sich sodann anrechnen lassen, was er mit eigenen Einkünften selber zu decken in der Lage ist (sog. "Eigenversorgungskapazität"). Verbleibt eine Differenz, wird der Unterhaltsbeitrag nach Massgabe der Leistungsfähigkeit der unterhaltsverpflichteten Person festgesetzt. Der so ermittelte Beitrag stellt die Obergrenze des Unterhaltsanspruchs dar. Aus den soeben dargelegten Grundsätzen folgt, dass der jeweilige Bedarf grundsätzlich konkret, das heisst, anhand der tatsächlich getätigten Ausgaben zu ermitteln ist (vgl. für den nachehelichen Unterhalt im Sinne von Art. 125 ZGB : BGE 134 III 145 E. 4 S. 146 f.). Indessen hat das Bundesgericht präzisiert, dass die Methode der Existenzminimumsberechnung mit (allfälliger) Überschussverteilung (auch zweistufige Methode genannt) jedenfalls dann zulässige Ergebnisse gestatte, wenn die Ehegatten - gegebenenfalls trotz guter finanzieller Verhältnisse - nichts angespart haben oder aber die bisherige Sparquote durch die trennungsbedingten Mehrkosten aufgebraucht wird ( BGE 137 III 102 E. 4.2.1.1 S. 106 f.; BGE 134 III 577 E. 3 S. 578). Der Unterhaltsschuldner, der eine Sparquote behauptet, trägt hiefür die Behauptungs- und Beweislast. Dass der Sachrichter den Sachverhalt von Amtes wegen festzustellen ( Art. 277 Abs. 3 ZPO ) oder gegebenenfalls zu erforschen hat ( Art. 296 ZPO ), enthebt den Unterhaltsschuldner zwar von der subjektiven Beweislast oder Beweisführungslast, ändert aber nichts an seiner Mitwirkungspflicht, aufgrund derer die Sparquote behauptet, beziffert und soweit möglich belegt werden muss (vgl. dazu: BGE 130 I 180 E. 3.2 BGE 140 III 485 S. 489 S. 183 f.; BGE 128 III 411 E. 3.2.1 S. 413; HAUSHEER/SPYCHER, in: Handbuch des Unterhaltsrechts, 2. Aufl. 2010, Rz. 05.173 S. 332). Es handelt sich um einen klaren Rechtsgrundsatz, dessen Missachtung Willkür in der Rechtsanwendung darstellt (zum Begriff vgl. BGE 140 III 16 E. 2.1; BGE 138 I 49 E. 7.1). Damit ist gleichzeitig gesagt, dass es, anders als wovon der Beschwerdegegner auszugehen scheint, weder vom Ermessen des Sachrichters noch von Billigkeitsgesichtspunkten abhängt, ob eine Sparquote zu berücksichtigen ist oder nicht.</w:t>
      </w:r>
    </w:p>
    <w:p>
      <w:r>
        <w:rPr>
          <w:b/>
        </w:rPr>
        <w:t>E. 3.4</w:t>
      </w:r>
    </w:p>
    <w:p>
      <w:r>
        <w:t>Die kantonalen Instanzen haben für die Ermittlung des Bedarfs der beiden Haushalte nicht ausschliesslich auf die Richtlinien für die Berechnung des betreibungsrechtlichen Existenzminimums nach Art. 93 SchKG abgestellt. Vielmehr haben sie angesichts der guten finanziellen Verhältnisse weitere Positionen wie Ausgaben für die Telecom und Mobiliarversicherung sowie für ein Auto ohne Kompetenzcharakter und für eine Garage angerechnet. Sodann wurde im Bedarf der Beschwerdeführerin und der Kinder ein Betrag von Fr. 1'000.- für Ferien und Soziales hinzugezählt. Auf den ersten Blick scheint somit die konkrete Lebenshaltung der beiden Haushalte während des Getrenntlebens ermittelt worden zu sein. Nicht konkret berechnet wurden indes die persönlichen Bedürfnisse der Parteien, zumal die kantonalen Instanzen diesbezüglich den Grundbetrag (Fr. 1'200.- beim Beschwerdegegner und Fr. 1'350.- bei der Beschwerdeführerin als Alleinerziehende) der betreibungsrechtlichen Richtlinien zu Art. 93 SchKG übernommen haben, ohne dass mit Bezug auf diese Position der konkrete, während der Ehe gelebte Standard der Ehegatten ermittelt worden wäre. Daran vermag nichts zu ändern, dass beim Bedarf der Beschwerdeführerin ein relativ hoher Betrag (Fr. 1'000.-) für Ferien und Soziales eingesetzt worden ist. Als Zwischenergebnis gilt somit, dass die Vorinstanzen - entgegen der Auffassung des Beschwerdegegners - nicht bzw. nicht ausschliesslich von der konkreten Lebenshaltung zur Ermittlung des Unterhaltsbedarfs ausgegangen sind.</w:t>
      </w:r>
    </w:p>
    <w:p>
      <w:r>
        <w:rPr>
          <w:b/>
        </w:rPr>
        <w:t>E. 3.5.1</w:t>
      </w:r>
    </w:p>
    <w:p>
      <w:r>
        <w:t>Dem angefochtenen Entscheid kann nicht entnommen werden, warum die kantonalen Instanzen angesichts des überdurchschnittlichen Einkommens des Beschwerdegegners nicht die konkrete Lebenshaltung ermittelt, sondern sich der Methode des um gewisse Positionen erweiterten Existenzminimums mit Überschussverteilung bedient haben. Die Parteien haben indes die Anwendung der Methode nicht als unzulässig bzw. willkürlich angefochten. Mit dieser BGE 140 III 485 S. 490 Feststellung hat es diesbezüglich sein Bewenden, und es erübrigen sich weitere Ausführungen.</w:t>
      </w:r>
    </w:p>
    <w:p>
      <w:r>
        <w:rPr>
          <w:b/>
        </w:rPr>
        <w:t>E. 3.5.2</w:t>
      </w:r>
    </w:p>
    <w:p>
      <w:r>
        <w:t>Wird indes die Lebenshaltung nicht konkret berechnet, sondern auf die vorgenannte Methode zurückgegriffen, erweckt allein schon die Berücksichtigung einer angeblichen Sparquote im Lichte von Art. 9 BV Bedenken: Es vermag angesichts der aufgezeigten Grundsätze nicht einzuleuchten, inwiefern aus einem nicht konkret berechneten Bedarf des Haushalts während des gemeinsamen Zusammenlebens bzw. der beiden Haushalte nach Aufhebung des gemeinsamen ehelichen Haushaltes auf eine konkrete Sparquote geschlossen werden kann. Ein überdurchschnittliches Einkommen kann höchstens ein Indiz sein dafür, dass eine Sparquote verbleiben sollte. Mit Blick auf die Verhältnisse des konkreten Falles ist dies jedoch keinesfalls zwingend (HAUSHEER/SPYCHER, a.a.O., Rz. 02.61c S. 74).</w:t>
      </w:r>
    </w:p>
    <w:p>
      <w:r>
        <w:rPr>
          <w:b/>
        </w:rPr>
        <w:t>E. 3.5.3</w:t>
      </w:r>
    </w:p>
    <w:p>
      <w:r>
        <w:t>Um auf eine Sparquote schliessen zu können, braucht es also mehr als die Höhe des Einkommens des Ehemannes. Nun lässt sich den Akten nicht entnehmen, dass der Beschwerdegegner als Unterhaltsschuldner die vom Obergericht angenommene Sparquote beziffert und belegt hätte. Dass darüber anlässlich der Verhandlung vor dem erstinstanzlichen Richter diskutiert worden, die Sparquote somit entgegen der Behauptung der Beschwerdeführerin thematisiert worden ist, genügt nicht. Das Obergericht hat auf der Grundlage der festgestellten Tatsachen - die Höhe des Einkommens des Beschwerdegegners - eine unhaltbare Schlussfolgerung - nämlich das Vorhandensein einer Sparquote - gezogen, und ist damit bei der Sachverhaltsfeststellung in Willkür verfallen. Damit erweist sich auch der Abzug einer weder dem Grundsatz nach noch betragsmässig glaubhaft gemachten Sparquote von einem anhand der zweistufigen Methode errechneten Überschuss als willkürlich. Nichts Gegenteiliges lässt sich der vom Beschwerdegegner angegebenen Literaturstelle im Handbuch des Unterhaltsrechts ableiten. Im Gegenteil: Auch diese Autoren vertreten die Auffassung, dass eine Sparquote nicht etwa aus einem überdurchschnittlichen Einkommen abgeleitet werden könne; vielmehr erfordere auch die Abgrenzung zwischen der dem nachehelichen Unterhalt zugänglichen bisherigen Sparquote und der unantastbaren Vermögensumteilung letztlich eine "quantitative" Grenzziehung und "einen entsprechenden Nachweis oder zumindest Glaubhaftmachung durch den Unterhaltsverpflichteten" (HAUSHEER/SPYCHER, a.a.O., Rz. 02.61c S. 74). BGE 140 III 485 S. 491 Damit hat das Obergericht den Grundsätzen für die Berechnung des ehelichen Bedarfs nach Aufhebung des gemeinsamen ehelichen Haushalts - soweit hier rechtsgenügend beanstandet - in unhaltbarer Weise nicht Rechnung getragen.</w:t>
      </w:r>
    </w:p>
    <w:p>
      <w:r>
        <w:rPr>
          <w:b/>
        </w:rPr>
        <w:t>E. 4</w:t>
      </w:r>
    </w:p>
    <w:p>
      <w:r>
        <w:t>(...)</w:t>
      </w:r>
    </w:p>
    <w:p>
      <w:r>
        <w:rPr>
          <w:b/>
        </w:rPr>
        <w:t>E. 4.5</w:t>
      </w:r>
    </w:p>
    <w:p>
      <w:r>
        <w:t>Ausgehend vom berechneten Überschuss von Fr. 2'593.- (15'242.- ./. 5'339.- ./. Fr. 7'310.-) beträgt der Anteil der Beschwerdeführerin und der Kinder somit rund Fr. 1'730.- (rund 2/3; vgl. BGE 126 III 8 ) und verbleiben dem Beschwerdegegner rund Fr. 863.-. Damit ergibt sich für die Beschwerdeführerin (inkl. Kinder) ein Gesamtunterhalt von Fr. 9'040.- (Fr. 7'310.- + Fr. 1'730.-). Nach Abzug des Unterhaltsbedarfs der drei Töchter von Fr. 5'250.- (je Fr. 1'750.-) verbleibt ein Bedarf der Beschwerdeführerin von Fr. 3'790.- (Fr. 9'040.- ./. Fr. 5'250.-). Im Verhältnis zum vorinstanzlich zugesprochenen Unterhaltsbeitrag von Fr. 2'575.- besteht eine Differenz von Fr. 1'215.-. Mit anderen Worten macht der vom Obergericht zugesprochene Unterhaltsbeitrag knapp zwei Drittel dessen aus, worauf die Beschwerdeführerin Anspruch hat. Die Kürzung um knapp ein Drittel ist unter allen Titeln offensichtlich unhaltbar. Damit erweist sich das angefochtene Urteil auch im Ergebnis als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