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231</w:t>
      </w:r>
    </w:p>
    <w:p>
      <w:r>
        <w:t>Bundesgericht (BGE), 2014-05-15, DE</w:t>
      </w:r>
    </w:p>
    <w:p>
      <w:r>
        <w:rPr>
          <w:b/>
        </w:rPr>
        <w:t xml:space="preserve">Quelle: </w:t>
      </w:r>
      <w:r>
        <w:t>https://mcp.opencaselaw.ch/entscheid/bge_BGE_140_III_231</w:t>
      </w:r>
    </w:p>
    <w:p>
      <w:r>
        <w:t>FR: ATF 140 III 231</w:t>
      </w:r>
    </w:p>
    <w:p>
      <w:r>
        <w:t>IT: DTF 140 III 231</w:t>
      </w:r>
    </w:p>
    <w:p>
      <w:pPr>
        <w:pStyle w:val="Heading2"/>
      </w:pPr>
      <w:r>
        <w:t>Regeste</w:t>
      </w:r>
    </w:p>
    <w:p>
      <w:r>
        <w:t>Regeste Art. 9 BV, Art. 176 Abs. 1 Ziff. 1 ZGB und Art. 271 ff. ZPO; Begehren um Ehegattenunterhalt im Eheschutzverfahren. Weil die Regelung der Kinderbelange die Höhe des Ehegattenunterhalts beeinflussen kann, ist es im Eheschutzverfahren zulässig und oftmals notwendig, für den Fall, dass eigene Hauptbegehren nicht durchdringen sollten, Eventualbegehren zum Ehegattenunterhalt zu stellen (E. 3.5).</w:t>
      </w:r>
    </w:p>
    <w:p>
      <w:r>
        <w:t>Regeste Art. 9 Cst., art. 176 al. 1 ch. 1 CC et art. 271 ss CPC; requête en entretien de l'époux dans la procédure de mesures protectrices de l'union conjugale. Comme la réglementation des questions relatives aux enfants peut influencer le montant de l'entretien de l'époux, il est possible et souvent nécessaire de prendre, en procédure de mesures protectrices de l'union conjugale, des conclusions subsidiaires en entretien du conjoint pour le cas où les conclusions principales ne devaient pas être admises (consid. 3.5).</w:t>
      </w:r>
    </w:p>
    <w:p>
      <w:r>
        <w:t>Regesto Art. 9 Cost., art. 176 cpv. 1 n. 1 CC e art. 271 segg. CPC; conclusioni sul mantenimento fra coniugi nella procedura di misure a tutela dell'unione coniugale. Dato che la regolamentazione delle questioni relative ai figli può influenzare l'ammontare del contributo di mantenimento fra coniugi, nella procedura di misure a tutela dell'unione coniugale è ammissibile e spesso necessario, nel caso che le proprie conclusioni principali non siano accolte, formulare conclusioni subordinate sul mantenimento fra coniugi (consid. 3.5).</w:t>
      </w:r>
    </w:p>
    <w:p>
      <w:pPr>
        <w:pStyle w:val="Heading2"/>
      </w:pPr>
      <w:r>
        <w:t>Erwägungen</w:t>
      </w:r>
    </w:p>
    <w:p>
      <w:r>
        <w:rPr>
          <w:b/>
        </w:rPr>
        <w:t>E. 3.5</w:t>
      </w:r>
    </w:p>
    <w:p>
      <w:r>
        <w:t>Der Unwägbarkeit, dass bei beschränkten bis durchschnittlichen wirtschaftlichen Verhältnissen die Regelung der Kinderbelange, namentlich die Bestimmung der Kinderunterhaltsbeiträge, die Höhe des Ehegattenunterhalts beeinflusst, kann mit Eventualanträgen begegnet werden. Auch im Eheschutzverfahren ist es zulässig und oftmals notwendig, für den Fall, dass eigene Hauptbegehren nicht durchdringen sollten, ein oder mehrere Eventualbegehren zu stellen, die - im vorliegenden Zusammenhang - auch weiter gehen können als das entsprechende Hauptbegehren (für ein Beispiel: Urteil 5A_906/2012 vom 18. April 2013 Sachverhalt Bst. C, in: FamPra.ch 2013 S. 715; vgl. zum Begrifflichen: STAEHELIN/STAEHELIN/GROLIMUND, Zivilprozessrecht, 2. Aufl. 2013, § 10 Rz. 44 S. 156 und § 14 Rz. 9 S. 214). Wie die kantonalen Gerichte willkürfrei annehmen durften, hat zu Eventualbegehren für die Beschwerdeführerin ausreichend Anlass bestanden, da die Zuteilung der Obhut über die Kinder streitig war BGE 140 III 231 S. 233 und die Kinder beim Beschwerdegegner bleiben wollten. Spätestens in ihrer Stellungnahme zum Bericht über die Anhörung der Kinder hätte die erneut anwaltlich vertretene Beschwerdeführerin für den Fall, dass die Kinderbelange abweichend von ihren Vorstellungen gerichtlich geregelt werden sollten, Eventualbegehren zum Ehegattenunterhalt stellen können. Geänderte und neue Begehren wie z.B. ihr Antrag auf Gütertrennung sind denn auch nach der Eheschutzverhandlung zugelassen worden und wären noch bis zur Urteilsberatung zulässig gewesen (SPYCHER, in: Berner Kommentar, Schweizerische Zivilprozessordnung, 2012, N. 7, und SUTTER-SOMM/VONTOBEL, in: Kommentar zur Schweizerischen Zivilprozessordnung [ZPO], Sutter-Somm/Hasenböhler/Leuenberger [Hrsg.], 2. Aufl. 2013, N. 16, je zu Art. 272 ZPO ). Vor dem Hintergrund, dass die Obhutszuteilung streitig und der diesbezügliche Wunsch der Kinder den Parteien bekannt war, hat das Eheschutzgericht der Beschwerdeführerin nicht eigens Gelegenheit geben müssen, sich vor dem Entscheid nochmals zum Ehegattenunterhalt zu äussern und allenfalls geänderte oder neue Begehren zu stellen. Mit der Rechtsanwendung konnte und musste die Beschwerdeführerin aufgrund der veröffentlichten Rechtsprechung vielmehr rechnen, so dass ein verfassungsmässiger Anspruch auf vorgängige Anhörung dazu nicht bestanden hat ( Art. 29 Abs. 2 BV ; BGE 114 Ia 97 E. 2a S. 99; Urteil 5A_561/2011 vom 19. März 2012 E. 10.1, nicht publ. in: BGE 138 III 289 , wohl aber in: Pra 101/2012 Nr. 119 S. 853). Anders verhielte es sich im - hier nicht zutreffenden - Fall, wo die Parteien übereinstimmende Anträge zur Regelung der Kinderbelange stellen, das Gericht aber davon abzuweichen gedenkt. Unter dieser Voraussetzung wäre den Parteien vorgängig die Möglichkeit einzuräumen, ihre Rechtsbegehren anzupassen (vgl. zum Fall teilgenehmigter Vereinbarungen über die Scheidungsfolgen: BGE 93 II 156 E. 7 S. 160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