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w:t>
      </w:r>
    </w:p>
    <w:p>
      <w:r>
        <w:t>Bundesgericht (BGE), 2012-12-14, DE</w:t>
      </w:r>
    </w:p>
    <w:p>
      <w:r>
        <w:rPr>
          <w:b/>
        </w:rPr>
        <w:t xml:space="preserve">Quelle: </w:t>
      </w:r>
      <w:r>
        <w:t>https://mcp.opencaselaw.ch/entscheid/bge_BGE_139_V_6</w:t>
      </w:r>
    </w:p>
    <w:p>
      <w:r>
        <w:t>FR: ATF 139 V 6</w:t>
      </w:r>
    </w:p>
    <w:p>
      <w:r>
        <w:t>IT: DTF 139 V 6</w:t>
      </w:r>
    </w:p>
    <w:p>
      <w:pPr>
        <w:pStyle w:val="Heading2"/>
      </w:pPr>
      <w:r>
        <w:t>Regeste</w:t>
      </w:r>
    </w:p>
    <w:p>
      <w:r>
        <w:t>Regeste Art. 25 Abs. 2 erster Satz ATSG; Auslösung der Verwirkungsfrist. Eine Ausgleichskasse hat sich das Wissen um einen zur Rentenrückforderung Anlass gebenden Sachverhalt auch dann anrechnen zu lassen, wenn ihr dieser im Zusammenhang mit der beitragsrechtlichen Erfassung des Rentenbezügers zur Kenntnis gelangte (E. 5.2; Bestätigung der Rechtsprechung gemäss Urteil des Eidg. Versicherungsgerichts I 26/93 vom 25. Oktober 1995 E. 4d).</w:t>
      </w:r>
    </w:p>
    <w:p>
      <w:r>
        <w:t>Regeste Art. 25 al. 2 première phrase LPGA; déclenchement du délai de péremption. Une caisse de compensation doit se laisser imputer la connaissance d'un état de fait qui constitue un motif de réclamation de rentes indûment versées aussi lorsque ce motif parvient à sa connaissance en rapport avec la perception des cotisations du bénéficiaire de rente (consid. 5.2; confirmation de la jurisprudence selon l'arrêt du Tribunal fédéral des assurances I 26/93 du 25 octobre 1995 consid. 4d).</w:t>
      </w:r>
    </w:p>
    <w:p>
      <w:r>
        <w:t>Regesto Art. 25 cpv. 2 prima frase LPGA; decorrenza del termine di perenzione. Una cassa di compensazione deve lasciarsi imputare la conoscenza di un fatto che dà luogo a una domanda di rimborso di rendite riscosse indebitamente anche se tale fatto le è pervenuto a conoscenza nell'ambito dell'assoggettamento contributivo del beneficiario della rendita (consid. 5.2; conferma della giurisprudenza secondo la sentenza del Tribunale federale delle assicurazioni I 26/93 del 25 ottobre 1995 consid. 4d).</w:t>
      </w:r>
    </w:p>
    <w:p>
      <w:pPr>
        <w:pStyle w:val="Heading2"/>
      </w:pPr>
      <w:r>
        <w:t>Erwägungen</w:t>
      </w:r>
    </w:p>
    <w:p>
      <w:r>
        <w:rPr>
          <w:b/>
        </w:rPr>
        <w:t>E. 2</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138 V 74 E. 4.1 S. 77 mit Hinweisen).</w:t>
      </w:r>
    </w:p>
    <w:p>
      <w:r>
        <w:rPr>
          <w:b/>
        </w:rPr>
        <w:t>E. 3</w:t>
      </w:r>
    </w:p>
    <w:p>
      <w:r>
        <w:t>Das kantonale Gericht hat zutreffend festgestellt, dass der Anspruch des Beschwerdeführers auf die bisher bezogene Witwerrente mit dessen Wiederverheiratung vom 2. April 2004 erloschen ist ( Art. 23 Abs. 4 lit. a AHVG ) und die in der Folge unrechtmässig bezogenen Leistungen - unabhängig von einer Meldepflichtverletzung - grundsätzlich zurückzuerstatten sind (Art. 25 Abs. 1 erster Satz ATSG; vgl. BGE 122 V 134 ). Nachfolgend zu prüfen ist, ob der Rückforderungsanspruch der Verwaltung verwirkt ist, weil - wie in der Beschwerde geltend gemacht - die hievor angeführte einjährige relative Verwirkungsfrist gemäss Art. 25 Abs. 2 ATSG bereits abgelaufen war, als die Ausgleichskasse ihre Rückerstattungsverfügung vom 27. September 2011 erliess. Nicht mehr im Streite liegt, dass selbst bei Verneinung dieser Frage nur die ab Oktober 2006 BGE 139 V 6 S. 8 geleisteten Rentenbetreffnisse im Gesamtbetrag von Fr. 70'890.- zurückgefordert werden können, wogegen die von Mai 2004 bis September 2006 zu Unrecht bezogenen Witwerrenten zufolge Ablaufs der fünfjährigen absoluten Verwirkungsfrist nicht zurückzuerstatten sind.</w:t>
      </w:r>
    </w:p>
    <w:p>
      <w:r>
        <w:rPr>
          <w:b/>
        </w:rPr>
        <w:t>E. 4.1</w:t>
      </w:r>
    </w:p>
    <w:p>
      <w:r>
        <w:t>Laut bereits angeführtem (E. 2 hievor)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2011 BVG Nr. 25 S. 93, 9C_611/2010 E. 3; vgl. BGE 124 V 380 E. 1 S. 382; BGE 122 V 270 E. 5a S. 274; je mit Hinweisen).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119 V 431 E. 3a S. 433; BGE 112 V 180 E. 4c S. 182; ZAK 1989 S. 558, H 212/88 E. 4b in fine; Urteile 9C_534/2009 vom 4. Februar 2010 E. 3.2.2 und 9C_1057/2008 vom 4. Mai 2009 E. 4.1.2).</w:t>
      </w:r>
    </w:p>
    <w:p>
      <w:r>
        <w:rPr>
          <w:b/>
        </w:rPr>
        <w:t>E. 4.2</w:t>
      </w:r>
    </w:p>
    <w:p>
      <w:r>
        <w:t>Die Durchführung der Alters- und Hinterlassenenversicherung erfolgt unter der Aufsicht des Bundes durch die Arbeitgeber und Arbeitnehmer, Verbandsausgleichskassen, kantonale Ausgleichskassen, Ausgleichskassen des Bundes und eine zentrale Ausgleichsstelle ( Art. 49 AHVG ).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 Art. 65 Abs. 2 AHVG ). Laut Art. 116 Abs. 1 der bundesrätlichen Verordnung vom 31. Oktober 1947 über die Alters- und Hinterlassenenversicherung (AHVV; SR 831.101) haben die Gemeindezweigstellen der kantonalen Ausgleichskassen in allen Fällen u.a. folgende Aufgaben zu übernehmen: Auskunftserteilung (lit. a); Entgegennahme und Weiterleitung von Korrespondenzen (lit. b); Abgabe der Formulare und der einschlägigen Vorschriften (lit. c) sowie Mitwirkung bei der Erfassung aller Beitragspflichtigen (lit. g); den Gemeindezweigstellen können weitere Aufgaben übertragen werden. BGE 139 V 6 S. 9 Im Kanton Bern errichten die Einwohnergemeinden Zweigstellen der kantonalen Ausgleichskasse; mehrere Einwohnergemeinden können eine Zweigstelle gemeinsam führen (Art. 7 Abs. 1 und 2 des kantonalen Einführungsgesetzes vom 23. Juni 1993 zum AHVG [EG AHVG; BSG 841.11]). Nach Abs. 5 der letztgenannten Gesetzesbestimmung werden die Aufgaben und Befugnisse der Zweigstellen durch Verordnung des Regierungsrates geregelt. Gestützt darauf hat der Regierungsrat des Kantons Bern als weitere Aufgaben im Sinne von Art. 116 Abs. 1 in fine AHVV die Entgegennahme von Anmeldungen und Leistungsgesuchen, die Weiterleitung der überprüften Unterlagen sowie die laufende Meldung aller erheblichen Veränderungen den Gemeindezweigstellen übertragen (Art. 9 Abs. 2 in Verbindung mit Art. 10 Abs. 1 der Verordnung vom 4. November 1998 über die kantonale Ausgleichskasse und ihre Zweigstellen [AKBV; BSG 841.111]). Überdies wirken die Zweigstellen nach Art. 10 Abs. 2 AKBV u.a. mit bei der Überprüfung von Leistungsansprüchen (lit. d) und von Arbeitgebern, die nicht der Arbeitgeberkontrolle unterstehen (lit. e).</w:t>
      </w:r>
    </w:p>
    <w:p>
      <w:r>
        <w:rPr>
          <w:b/>
        </w:rPr>
        <w:t>E. 5.1</w:t>
      </w:r>
    </w:p>
    <w:p>
      <w:r>
        <w:t>Die vorliegenden (Renten-)Akten enthalten keinerlei Anhaltspunkte für den vom Beschwerdeführer erhobenen Einwand, wonach die Ausgleichskasse oder deren Zweigstelle X. bereits vor der im September 2011 erfolgten Datenabgleichung zwischen zentralem Rentenregister und Informatisiertem Standesregister Kenntnis von der Wiederverheiratung im April 2004 gehabt hätten. Der Beschwerdeführer macht denn auch geltend, "als juristischer Laie" sei er sich "nicht bewusst" gewesen, dass er die Zivilstandsänderung den AHV-Organen hätte melden müssen, "da bisher alles durch die Behörden geregelt" worden sei. Die Wiederverheiratung sei der Zivilstandsbehörde bekannt gewesen und somit auch der AHV-Zweigstelle X. Im Zusammenhang mit dem Down-Syndrom seines Sohnes hätten überdies periodisch Hausbesuche von IV-Abklärungspersonen stattgefunden, welche jeweils (auch) von der zweiten Ehefrau empfangen worden seien. Soweit sich der Beschwerdeführer auf den Standpunkt stellt, das Wissen von Zivilstandsbehörde und IV-Stelle um die neuerliche Heirat sei auch den AHV-Organen zuzurechnen, kann ihm nicht gefolgt werden. Nach Art. 63 Abs. 1 lit. b und c AHVG obliegt die Festsetzung und die Auszahlung der AHV-Renten (und somit auch die Rückforderung unrechtmässig bezogener Renten) allein den Ausgleichskassen BGE 139 V 6 S. 10 (vgl. auch die in vorstehender E. 4.2 dargelegte Zuständigkeitsregelung). Offenkundig können weder Zivilstandsbehörde noch IV-Stelle als mit der Durchführung der Alters- und Hinterlassenenversicherung betraute Behörden im Sinne der angeführten Rechtsprechung gelten (E. 4.1 hievor in fine). Die Kenntnis einer in diesem Lichte unzuständigen Verwaltungsstelle vermag die einjährige Verwirkungsfrist des Art. 25 Abs. 2 erster Satz ATSG nicht auszulösen. An dieser Betrachtungsweise ändert nichts, dass die Ausgleichskasse bei einer früheren Abgleichung des zentralen Rentenregisters mit den Daten der Zivilstandsbehörden auch entsprechend früher auf die Wiederverheiratung des Beschwerdeführers gestossen wäre. Anzumerken bleibt, dass dem Zivilstandsregister gegenüber Sozialversicherungsträgern rechtsprechungsgemäss keine (mit dem Handelsregister vergleichbare) Publizitätswirkung beizumessen ist (SVR 2002 IV Nr. 2 S. 5, I 678/00 E. 3b).</w:t>
      </w:r>
    </w:p>
    <w:p>
      <w:r>
        <w:rPr>
          <w:b/>
        </w:rPr>
        <w:t>E. 5.2</w:t>
      </w:r>
    </w:p>
    <w:p>
      <w:r>
        <w:t>In Verdeutlichung seiner im kantonalen Verfahren vorgetragenen Sachverhaltsdarstellung macht der Beschwerdeführer letztinstanzlich geltend, dass er in den Jahren vor seiner zweiten Eheschliessung Kinderbetreuerinnen angestellt gehabt und für diese AHV-Beiträge abgerechnet habe. In der Folge seien ihm von der AHV-Zweigstelle X. noch mehrmals entsprechende Lohnbescheinigungsformulare zugestellt worden, welche er "jeweils mit dem Vermerk 'Aufgrund Wiederverheiratung hinfällig' retourniert habe". Über diesbezügliche Unterlagen verfügt der Beschwerdeführer selber offenbar nicht (mehr); immerhin findet sich in seinen vorinstanzlich eingereichten Akten die Kopie des Lohnbescheinigungsformulars für das Jahr 2006, welches seine Unterschrift und das Datum vom 15. Oktober 2007 trägt und zudem mit dem handschriftlichen Vermerk "=&gt; keine Personen mehr beschäftigt!" versehen wurde. Der Frage, ob der Beschwerdeführer die (weiter nicht ausgefüllten) Formulare für die Lohnabrechnungen der Jahre 2004 und 2005 sowie allenfalls 2007 ff. tatsächlich mit einem Verweis auf seine neuerliche Eheschliessung an die zuständige AHV-Zweigstelle X. (vgl. E. 4.2 hievor) zurückgesandt hat, ist entscheidwesentliche Bedeutung beizumessen: Art. 25 Abs. 2 erster Satz ATSG verlangt bloss, dass die Versicherungseinrichtung (hier die Ausgleichskasse) vom Rückforderungsanspruch Kenntnis erhält; auf welchem Wege dies geschieht, spielt grundsätzlich keine Rolle. So hat sich eine Ausgleichskasse das Wissen um einen zur Rentenrückforderung Anlass gebenden Sachverhalt rechtsprechungsgemäss auch dann anrechnen zu lassen, wenn ihr BGE 139 V 6 S. 11 dieser im Zusammenhang mit der beitragsrechtlichen Erfassung des Rentenbezügers als Nichterwerbstätiger zur Kenntnis gelangte (Urteil des Eidg. Versicherungsgerichts I 26/93 vom 25. Oktober 1995 E. 4d). Dies muss auch gelten, wenn die Kenntnisnahme durch die Kasse im Rahmen der Erfassung des Rentenbezügers als beitragspflichtiger Arbeitgeber erfolgt. Falls die Ausgleichskasse des Kantons Bern oder deren Gemeindezweigstelle X. tatsächlich auf die vom Beschwerdeführer geltend gemachte Art und Weise wiederholt von der neuerlichen Heirat vom 2. April 2004 erfahren hat, wäre der Rückforderungsanspruch zufolge Ablaufs der einjährigen Verwirkungsfrist längst erloschen gewesen, als die Kasse am 27. September 2011 die Rückerstattung der unrechtmässig bezogenen Witwerrenten verfügte. Etwas anderes gilt nur für die innerhalb eines Jahres vor Erlass der Rückerstattungsverfügung ausgerichteten Rentenbetreffnisse: Der diesbezügliche Rückforderungsanspruch konnte solange nicht verwirken, als die monatlichen Renten noch gar nicht ausbezahlt waren ( BGE 122 V 270 E. 5b/bb S. 276; SVR 2012 IV Nr. 33 S. 131, 9C_363/2010 E. 3.1 und 3.2).</w:t>
      </w:r>
    </w:p>
    <w:p>
      <w:r>
        <w:rPr>
          <w:b/>
        </w:rPr>
        <w:t>E. 5.3</w:t>
      </w:r>
    </w:p>
    <w:p>
      <w:r>
        <w:t>Die Ausgleichskasse hat in ihrer Vernehmlassung ebenso wenig wie das kantonale Gericht oder das BSV zu den letztinstanzlichen Vorbringen des Beschwerdeführers Stellung bezogen. Die Kasse hat auch davon abgesehen, die beitragsrechtlichen Akten des Beschwerdeführers nachzureichen. Im Lichte vorstehender Erwägungen ist es jedoch unabdingbar, die Frage nach der Verwirkung der Rückerstattungsforderung nicht nur auf der Grundlage der leistungsbezogenen, sondern auch der beitragsbezogenen Kassenunterlagen zu beantworten. Die Sache wird deshalb zur Einholung sämtlicher den Beschwerdeführer betreffenden Akten der Ausgleichskasse (einschliesslich derjenigen der AHV-Zweigstelle X.) und zu anschliessendem neuen Entscheid über die Rückerstattung der unrechtmässig bezogenen Witwerrenten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