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339</w:t>
      </w:r>
    </w:p>
    <w:p>
      <w:r>
        <w:t>Bundesgericht (BGE), 2013-06-05, DE</w:t>
      </w:r>
    </w:p>
    <w:p>
      <w:r>
        <w:rPr>
          <w:b/>
        </w:rPr>
        <w:t xml:space="preserve">Quelle: </w:t>
      </w:r>
      <w:r>
        <w:t>https://mcp.opencaselaw.ch/entscheid/bge_BGE_139_V_339</w:t>
      </w:r>
    </w:p>
    <w:p>
      <w:r>
        <w:t>FR: ATF 139 V 339</w:t>
      </w:r>
    </w:p>
    <w:p>
      <w:r>
        <w:t>IT: DTF 139 V 339</w:t>
      </w:r>
    </w:p>
    <w:p>
      <w:pPr>
        <w:pStyle w:val="Heading2"/>
      </w:pPr>
      <w:r>
        <w:t>Regeste</w:t>
      </w:r>
    </w:p>
    <w:p>
      <w:r>
        <w:t>Regeste Art. 72 bis IVV; Art. 93 BGG; Anfechtbarkeit einer Zwischenverfügung über die Anwendung des Zuweisungssystems "SuisseMED@P". Eine Zwischenverfügung, in welcher keine Gutachterstelle benannt wird, sondern lediglich die Bestimmung einer solchen in Anwendung von Art. 72 bis IVV durch das Zuweisungssystem "SuisseMED@P" angekündigt wird, ist weder im erstinstanzlichen Verfahren noch vor Bundesgericht anfechtbar (E. 4.5). Daran vermag auch das Kreisschreiben über das Verfahren in der Invalidenversicherung (KSVI) nichts zu ändern, könnte doch eine Zweiteilung des Verfahrens lediglich mittels einer Gesetzesänderung eingeführt werden (E. 4.6).</w:t>
      </w:r>
    </w:p>
    <w:p>
      <w:r>
        <w:t>Regeste Art. 72 bis RAI; art. 93 LTF; recevabilité d'un recours dirigé contre une décision incidente portant sur l'application du système d'attribution "SuisseMED@P". Une décision incidente qui ne mentionne pas de centre d'expertise mais qui indique seulement que celui-ci sera déterminé en vertu de l'art. 72 bis RAI selon le système d'attribution "SuisseMED@P" n'est attaquable ni devant la juridiction de première instance ni devant le Tribunal fédéral (consid. 4.5). La Circulaire sur la procédure dans l'assurance-invalidité (CPAI) ne peut rien changer à cela, un fractionnement de la procédure en deux étapes ne pouvant être introduit que par une modification légale (consid. 4.6).</w:t>
      </w:r>
    </w:p>
    <w:p>
      <w:r>
        <w:t>Regesto Art. 72 bis OAI; art. 93 LTF; impugnabilità di una decisione incidentale concernente l'applicazione del sistema di attribuzione "SuisseMED@P". Una decisione incidentale che non menziona alcun centro peritale, ma che annuncia unicamente che esso sarà determinato in applicazione dell'art. 72 bis OAI mediante il sistema di attribuzione "SuisseMED@P", non è impugnabile né nella procedura di primo grado né dinanzi al Tribunale federale (consid. 4.5). Nulla muta a tale conclusione la Circolare sulla procedura nell'assicurazione per l'invalidità (CPAI), un frazionamento della procedura in due tappe potendo essere introdotto soltanto attraverso una modifica di legge (consid. 4.6).</w:t>
      </w:r>
    </w:p>
    <w:p>
      <w:pPr>
        <w:pStyle w:val="Heading2"/>
      </w:pPr>
      <w:r>
        <w:t>Erwägungen</w:t>
      </w:r>
    </w:p>
    <w:p>
      <w:r>
        <w:rPr>
          <w:b/>
        </w:rPr>
        <w:t>E. 3.1</w:t>
      </w:r>
    </w:p>
    <w:p>
      <w:r>
        <w:t>Gemäss Art. 90 BGG ist die Beschwerde zulässig gegen Entscheide, die das Verfahren abschliessen. Ebenfalls zulässig ist nach Art. 91 Abs. 1 BGG die Beschwerde gegen selbständig eröffnete Vor- und Zwischenentscheide über die Zuständigkeit und über Ausstandsbegehren. Gegen andere selbständig eröffnete Vor- und Zwischenentscheide ist von hier nicht interessierenden Ausnahmen in Anwendung von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3.2</w:t>
      </w:r>
    </w:p>
    <w:p>
      <w:r>
        <w:t>Damit ein Entscheid der Vorinstanz als Endentscheid im Sinne von Art. 90 BGG qualifiziert werden kann, muss er das Verfahren vor der ersten Instanz abschliessen (Botschaft vom 28. Februar 2001 zur Totalrevision der Bundesrechtspflege, BBl 2001 4202 Ziff. 4.1.4.1 S. 4332; BERNARD CORBOZ, in: Commentaire de la LTF, 2009, N. 9 zu Art. 90 BGG ).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(Urteil des Bundesgerichts 8C_699/2009 vom 22. April 2010 E. 1, nicht publ. in: BGE 136 V 156 , aber in: SVR 2011 IV Nr. 16 S. 41).</w:t>
      </w:r>
    </w:p>
    <w:p>
      <w:r>
        <w:rPr>
          <w:b/>
        </w:rPr>
        <w:t>E. 3.3</w:t>
      </w:r>
    </w:p>
    <w:p>
      <w:r>
        <w:t>Mit dem Entscheid des Bundesverwaltungsgerichts vom 22. November 2012 wurde das Verfahren vor der IVST um Zusprechung BGE 139 V 339 S. 342 oder Verweigerung von Leistungen der Invalidenversicherung nicht abgeschlossen; der vorinstanzliche Entscheid ist mithin als Zwischenentscheid zu qualifizieren.</w:t>
      </w:r>
    </w:p>
    <w:p>
      <w:r>
        <w:rPr>
          <w:b/>
        </w:rPr>
        <w:t>E. 4.1</w:t>
      </w:r>
    </w:p>
    <w:p>
      <w:r>
        <w:t>Da eine Gutheissung der Beschwerde nicht sofort zu einem Endentscheid in der Sache (mithin über den Rentenanspruch des Versicherten) führen würde (vgl. Art. 93 Abs. 1 lit. b BGG ), wäre auf die Beschwerde nur einzutreten, wenn dieser Zwischenentscheid einen nicht wieder gutzumachenden Nachteil bewirken könnte ( Art. 93 Abs. 1 lit. a BGG ).</w:t>
      </w:r>
    </w:p>
    <w:p>
      <w:r>
        <w:rPr>
          <w:b/>
        </w:rPr>
        <w:t>E. 4.2</w:t>
      </w:r>
    </w:p>
    <w:p>
      <w:r>
        <w:t>Der Beschwerdeführer verweist in seiner Beschwerde auf BGE 137 V 210 . Damit macht er sinngemäss geltend, durch die Zwischenverfügung vom 25. September 2012 einen nicht wieder gutzumachenden Nachteil zu erleiden. Für die Beurteilung, ob ein solcher Nachteil gegeben ist, muss im Kontext des IV-rechtlichen Abklärungsverfahrens mit seinen spezifischen Gegebenheiten (dazu eingehend BGE 137 V 210 ) berücksichtigt werden, dass ein Sachverständigengutachten im Rechtsmittelverfahren mit Blick auf die fachfremde Materie faktisch nur beschränkt überprüfbar ist: Der Rechtsanwender sieht sich mangels ausreichender Fachkenntnisse kaum in der Lage, in formal korrekt abgefassten Gutachten objektiv- 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4.3</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BGE 139 V 339 S. 343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4.4</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Berücksichtigung der im Gerichtsentscheid festgelegten zusätzlichen Rahmenbedingungen, an eine MEDAS vergebe (vgl. BGE 138 V 271 E. 1.2.3 S. 276 f.).</w:t>
      </w:r>
    </w:p>
    <w:p>
      <w:r>
        <w:rPr>
          <w:b/>
        </w:rPr>
        <w:t>E. 4.5</w:t>
      </w:r>
    </w:p>
    <w:p>
      <w:r>
        <w:t>In BGE 138 V 271 E. 3 ff. S. 278 ff. hat das Bundesgericht zudem präzisiert, dass eine solche Gutachtensanordnung in der Regel lediglich im erstinstanzlichen Verfahren anfechtbar ist. Aus BGE 137 V 210 kann somit nicht gefolgert werden, es sei auch der nicht wieder gutzumachende Nachteil im Sinne von Art. 93 Abs. 1 lit. a BGG zu bejahen. Somit ist auf die Beschwerde gegen den vorinstanzlichen Entscheid auch nach dieser Norm nicht einzutreten. Dies gilt umso mehr, als in der Zwischenverfügung vom 25. September 2012 keine Gutachterstelle benannt wird, sondern lediglich die Bestimmung einer solchen in Anwendung von Art. 72 bis IVV (SR 831. 201) durch das Zuweisungssystem "SuisseMED@P" angekündigt wird. Selbst für das erstinstanzliche Verfahren ist somit nicht ersichtlich, worin der Nachteil des Versicherten bestehen sollte, wenn er die Gutachtensanordnung vor Bundesverwaltungsgericht nicht anfechten kann, bevor in Anwendung des Zuweisungssystems "Suisse MED@P" auch die Gutachterstelle feststeht.</w:t>
      </w:r>
    </w:p>
    <w:p>
      <w:r>
        <w:rPr>
          <w:b/>
        </w:rPr>
        <w:t>E. 4.6</w:t>
      </w:r>
    </w:p>
    <w:p>
      <w:r>
        <w:t>Zu einer abweichenden Beurteilung gibt auch die Vernehmlassung des BSV keinen Anlass. In dieser wird unter Hinweis auf die Rz. 2074 ff. des Kreisschreibens über das Verfahren in der BGE 139 V 339 S. 344 Invalidenversicherung (KSVI, www.bsv.admin.ch/vollzug/documents/index/category: 34/lang=deu ) ausgeführt, im Interesse einer möglichst grossen Planungssicherheit für die Gutachterstellen sei eine Zweiteilung des Verfahrens zweckmässig. Zunächst solle geklärt werden, ob eine polydisziplinäre Begutachtung in der Schweiz notwendig ist, welche Fachdisziplinen zu berücksichtigen und welche Fragen zu stellen sind. Erst wenn diese Punkte - allenfalls gerichtlich - geklärt seien, solle über die Plattform "SuisseMED@P" eine Gutachterstelle zugelost werden. Damit könne die Zahl der Begutachtungstermine, die nachträglich annulliert werden müssen, gering gehalten werden. Eine mangelnde Planungssicherheit der Gutachterstellen und die organisatorischen Schwierigkeiten, welche allenfalls durch die Annullierung von Begutachtungsterminen verursacht werden, stellen keinen nicht wieder gutzumachenden Nachteil für die versicherte Person dar. Da zudem Zwischenverfügungen, mit welchen ein Gutachten angeordnet wird, in aller Regel nicht beim Bundesgericht anfechtbar sind (vgl. BGE 138 V 271 E. 3 ff. S. 278 ff.), kann es auch keine rechtskräftige Erledigung gewisser umstrittener Punkte vor dem Endentscheid geben: Aufgrund von Art. 93 Abs. 3 BGG wird eine versicherte Person bei der Anfechtung des Endentscheids noch geltend machen können, die Anordnung sei nicht rechtmässig gewesen. Daran würde im Übrigen auch eine Änderung der Rechtsprechung von BGE 138 V 271 nichts ändern, ist doch nach dem System des BGG die Anfechtung von Zwischenentscheiden, welche weder die Zuständigkeit noch den Ausstand betreffen, stets freiwillig. Die vom BSV angestrebte Zweiteilung des Verfahrens könnte daher lediglich mittels einer Gesetzesänderung eingeführt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