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143</w:t>
      </w:r>
    </w:p>
    <w:p>
      <w:r>
        <w:t>Bundesgericht (BGE), 2013-03-19, DE</w:t>
      </w:r>
    </w:p>
    <w:p>
      <w:r>
        <w:rPr>
          <w:b/>
        </w:rPr>
        <w:t xml:space="preserve">Quelle: </w:t>
      </w:r>
      <w:r>
        <w:t>https://mcp.opencaselaw.ch/entscheid/bge_BGE_139_V_143</w:t>
      </w:r>
    </w:p>
    <w:p>
      <w:r>
        <w:t>FR: ATF 139 V 143</w:t>
      </w:r>
    </w:p>
    <w:p>
      <w:r>
        <w:t>IT: DTF 139 V 143</w:t>
      </w:r>
    </w:p>
    <w:p>
      <w:pPr>
        <w:pStyle w:val="Heading2"/>
      </w:pPr>
      <w:r>
        <w:t>Regeste</w:t>
      </w:r>
    </w:p>
    <w:p>
      <w:r>
        <w:t>Regeste Art. 61 Abs. 2 und 5 KVG; Art. 91 Abs. 1 KVV; kantonale und regionale Abstufung der Krankenversicherungsprämien. Die Kompetenz zur Festlegung der Prämienregionen und zur Zuordnung der Gemeinden liegt ausschliesslich beim Bundesamt für Gesundheit (BAG). Die Gemeinde ist nicht legitimiert, die vom BAG festgelegten Prämienregionen anzufechten. Es steht ihr auch kein Anspruch auf Erlass einer Feststellungsverfügung zu (E. 3).</w:t>
      </w:r>
    </w:p>
    <w:p>
      <w:r>
        <w:t>Regeste Art. 61 al. 2 et 5 LAMal; art. 91 al. 1 OAMal; échelonnement des primes de l'assurance-maladie selon les cantons et les régions. La compétence pour délimiter les régions de primes et y classer les communes appartient exclusivement à l'Office fédéral de la santé publique (OFSP). Une commune n'est pas légitimée à recourir contre la délimitation des régions opérée par l'OFSP. Elle n'a pas non plus de droit à obtenir une décision en constatation (consid. 3).</w:t>
      </w:r>
    </w:p>
    <w:p>
      <w:r>
        <w:t>Regesto Art. 61 cpv. 2 e 5 LAMal; art. 91 cpv. 1 OAMal; graduazione cantonale e regionale dei premi di cassa malati. L'Ufficio federale della sanità pubblica (UFSP) è esclusivamente competente per definire le regioni dei premi e per assegnarvi i singoli comuni. Il comune non è legittimato a impugnare la definizione delle regioni operata dall'UFSP. Non può neppure pretendere l'emissione di una decisione d'accertamento (consid. 3).</w:t>
      </w:r>
    </w:p>
    <w:p>
      <w:pPr>
        <w:pStyle w:val="Heading2"/>
      </w:pPr>
      <w:r>
        <w:t>Erwägungen</w:t>
      </w:r>
    </w:p>
    <w:p>
      <w:r>
        <w:rPr>
          <w:b/>
        </w:rPr>
        <w:t>E. 1.1</w:t>
      </w:r>
    </w:p>
    <w:p>
      <w:r>
        <w:t>Nach Art. 48 Abs. 1 VwVG (SR 172.021), welche Norm die Beschwerdelegitimation vor dem Bundesverwaltungsgericht regelt ( Art. 37 des Bundesgesetzes vom 17. Juni 2005 über das Bundesverwaltungsgericht [Verwaltungsgerichtsgesetz, VGG; SR 173.32] ), ist zur Beschwerde berechtigt, wer (kumulativ) vor der Vorinstanz am Verfahren teilgenommen hat oder keine Möglichkeit zur Teilnahme erhalten hat (lit. a), durch die angefochtene Verfügung besonders berührt ist (lit. b) und ein schutzwürdiges Interesse an deren Aufhebung oder Änderung hat (lit. c).</w:t>
      </w:r>
    </w:p>
    <w:p>
      <w:r>
        <w:rPr>
          <w:b/>
        </w:rPr>
        <w:t>E. 1.2</w:t>
      </w:r>
    </w:p>
    <w:p>
      <w:r>
        <w:t>Nach Art. 5 Abs. 1 VwVG sind Verfügungen Anordnungen der Behörden im Einzelfall, die sich auf öffentliches Recht des Bundes BGE 139 V 143 S. 145 stützen und die Begründung, Änderung oder Aufhebung von Rechten oder Pflichten (lit. a), die Feststellung des Bestehens, Nichtbestehens oder Umfanges von Rechten und Pflichten (lit. b) oder die Abweisung von Begehren auf Begründung, Änderung, Aufhebung oder Feststellung von Rechten und Pflichten oder das Nichteintreten auf ein solches Begehren zum Gegenstand haben (lit. c). Als Verfügungen gelten mithin autoritative, einseitige, individuell-konkrete Anordnungen der Behörde, die in Anwendung von Verwaltungsrecht ergangen, auf Rechtswirkungen ausgerichtet sowie verbindlich und erzwingbar sind (vgl. etwa BGE 131 II 13 E. 2.2 S. 17; AEMISEGGER/SCHERRER REBER, in: Basler Kommentar, Bundesgerichtsgesetz, 2. Aufl. 2011, N. 30 zu Art. 82 BGG ; MOSER/BEUSCH/KNEUBÜHLER, Prozessieren vor dem Bundesverwaltungsgericht, 2008, S. 24 Rz. 2.3; TSCHANNEN/ZIMMERLI/MÜLLER, Allgemeines Verwaltungsrecht, 3. Aufl. 2009, S. 224 ff., insbes. S. 229 ff.). Eine Allgemeinverfügung zeichnet sich dadurch aus, dass sie sich einerseits an einen (relativ) unbestimmten Personenkreis richtet, also genereller Natur ist, anderseits einen konkreten Tatbestand regelt (statt vieler BGE 125 I 313 E. 2a S. 316). Sie werden in Bezug auf ihre Anfechtbarkeit zumindest dann wie Verfügungen behandelt, wenn sie ohne konkretisierende Anordnung einer Behörde angewendet und vollzogen werden können (Urteil 2C_104/2012 vom 25. April 2012 E. 1.2 mit Hinweisen).</w:t>
      </w:r>
    </w:p>
    <w:p>
      <w:r>
        <w:rPr>
          <w:b/>
        </w:rPr>
        <w:t>E. 1.3</w:t>
      </w:r>
    </w:p>
    <w:p>
      <w:r>
        <w:t>Die in der Sache zuständige Behörde kann über den Bestand, den Nichtbestand oder den Umfang öffentlichrechtlicher Rechte oder Pflichten von Amtes wegen oder auf Begehren eine Feststellungsverfügung treffen. Dem Begehren um eine Feststellungsverfügung ist zu entsprechen, wenn der Gesuchsteller ein schutzwürdiges Interesse nachweist. Keiner Partei dürfen daraus Nachteile erwachsen, dass sie im berechtigten Vertrauen auf eine Feststellungsverfügung gehandelt hat ( Art. 25 Abs. 1-3 VwVG ).</w:t>
      </w:r>
    </w:p>
    <w:p>
      <w:r>
        <w:rPr>
          <w:b/>
        </w:rPr>
        <w:t>E. 2.1</w:t>
      </w:r>
    </w:p>
    <w:p>
      <w:r>
        <w:t>Gemäss Art. 61 Abs. 2 KVG kann der Versicherer die Prämien nach den ausgewiesenen Kostenunterschieden kantonal und regional abstufen. Massgebend ist der Wohnort der versicherten Person. Das BAG legt die Regionen für sämtliche Versicherer einheitlich fest.</w:t>
      </w:r>
    </w:p>
    <w:p>
      <w:r>
        <w:rPr>
          <w:b/>
        </w:rPr>
        <w:t>E. 2.2</w:t>
      </w:r>
    </w:p>
    <w:p>
      <w:r>
        <w:t>Die Festlegung der Prämienregionen innerhalb der Kantone wird vom BAG ausgehend von den Kostenunterschieden zwischen den Regionen vorgenommen. Nimmt der Versicherer Abstufungen nach Regionen vor, so darf gemäss Art. 91 Abs. 1 KVV (SR 832.102) die BGE 139 V 143 S. 146 Differenz für die Prämie innerhalb des gleichen Kantons höchstens 15 Prozent zwischen den Regionen 1 und 2 sowie höchstens 10 Prozent zwischen den Regionen 2 und 3 betragen. Der Kanton Schaffhausen verfügte sowohl vor als auch nach der Gemeindefusion über 2 Prämienregionen ( www.bag.admin.ch unter: Themen/Krankenversicherung/Prämien/Prämienrechner/Prämienarchiv/Prämienregionen). Das BAG unterzieht die Einteilung der Prämienregionen regelmässig einer umfassenden Neubeurteilung. Die Zuordnung im System der Prämienregionen steht insbesondere unter dem Vorbehalt einer notwendigen Anpassung auf Grund von Änderungen in der Organisation der Kantone. Zu denken ist an Gemeindefusionen oder die Erweiterung der Agglomerationen (vgl. Antwort des Bundesrates vom 30. November 2012 auf die Interpellation Nr. 12.3941 von Kathy Riklin betreffend "Krankenkassen-Prämienregionen. Kompetenzen für die Kantone schaffen" [ www.parlament.ch unter: Dokumentation/Curia Vista]).</w:t>
      </w:r>
    </w:p>
    <w:p>
      <w:r>
        <w:rPr>
          <w:b/>
        </w:rPr>
        <w:t>E. 2.3</w:t>
      </w:r>
    </w:p>
    <w:p>
      <w:r>
        <w:t>Mit der Teilrevision des Krankenversicherungsrechts per 1. Januar 2001 wurde den Versicherern das Recht zur autonomen Prämienregioneneinteilung entzogen (vgl. Art. 61 Abs. 2 KVG in der bis Ende 2000 in Kraft gewesenen Fassung). Zum einen sollten künftig sehr kleinräumige örtliche Prämientarife vermieden werden. Zum andern sollten sich die Prämienunterschiede nach den regionalen Kostenunterschieden und nicht etwa nach kommerziellen Überlegungen der Versicherer richten (Botschaft vom 6. November 1991 über die Revision der Krankenversicherung, BBl 1992 I 93, 194 oben zu Art. 53 KVG ). Indes sind die Krankenversicherer nach wie vor frei, auf regionale Prämienabstufungen zu verzichten. Bei Art. 61 Abs. 2 KVG handelte und handelt es sich weiterhin um eine Kann-Vorschrift (GEBHARD EUGSTER, Krankenversicherung, in: Soziale Sicherheit, SBVR Bd. XIV, 2. Aufl. 2007, S. 739 Rz. 1004). Sinn und Zweck der Schaffung einheitlicher Prämienregionen, die für sämtliche Versicherer schweizweit Allgemeingültigkeit haben, ist, den Versicherten den Prämienvergleich und dem Bundesrat die Prämienkontrolle zu erleichtern (EUGSTER, a.a.O.). Zudem soll die Solidarität verstärkt werden (BBl 1992 I 93, 134 Mitte Ziff. 241). So erhebt der Versicherer von seinen Versicherten die gleichen Prämien ( Art. 61 Abs. 1 KVG ), wobei die Prämientarife der obligatorischen Krankenpflegeversicherung der Genehmigung durch den Bundesrat bedürfen; vor der Genehmigung können die Kantone zu den für ihre BGE 139 V 143 S. 147 Bevölkerung vorgesehenen Prämientarifen Stellung nehmen ( Art. 61 Abs. 5 KVG ).</w:t>
      </w:r>
    </w:p>
    <w:p>
      <w:r>
        <w:rPr>
          <w:b/>
        </w:rPr>
        <w:t>E. 3</w:t>
      </w:r>
    </w:p>
    <w:p>
      <w:r>
        <w:t>Nach dem Gesagten sind die Versicherer in erster Linie Adressat der vom BAG festgelegten Prämienregionen. Einen Einbezug der einzelnen Kantone und Regionen hinsichtlich deren Einteilung hat der Gesetzgeber nicht vorgesehen. Weder dem KVG noch den Materialien lässt sich etwas Gegenteiliges entnehmen. Wie denn auch aus der Antwort des Regierungsrates des Kantons Bern auf die Interpellation Nr. 155-2012 im Grossen Rat betreffend die Einteilung der Prämienregionen erhellt (Geschäftsnummer 2012.0835 [ www.gr.be.ch unter: Geschäfte]), gehen die Kantone selber davon aus, dass die Kompetenz zur Festlegung der Prämienregionen ausschliesslich beim BAG liegt. Erst im Rahmen der konkreten Prämiengestaltung durch die Versicherer werden (allein) sie angehört. Dabei können die Versicherer - müssen aber nicht - ihre Prämien kantonal und regional abstufen. Mit anderen Worten lassen sich die Prämienregionen des BAG nicht ohne konkretisierende Prämienfestsetzung unmittelbar anwenden und vollziehen. Unabhängig von der Frage nach der (Allgemein-)Verfügungsqualität der vom BAG festgelegten Prämienregionen, die nach dem soeben Dargelegten wohl zu verneinen wäre (vgl. E. 1.2 Abs. 2), womit für eine vorgängige Anhörung von vornherein kein Raum verbliebe (vgl. Art. 30 Abs. 1 VwVG ), kommt der Beschwerdeführerin bei der Regioneneinteilung keine Rolle zu. Gemäss der klaren gesetzlichen Konzeption sind ausschliesslich die Kantone ermächtigt, zu den für ihre Bevölkerung vorgesehenen Prämientarifen, deren Gestaltung eine kantonale und regionale Abstufung zu Grunde liegen kann, aber nicht muss, Stellung zu nehmen. Der Legitimation der Beschwerdeführerin zur Anfechtung der vom BAG festgelegten Prämienregionen gebricht es somit schon an der ersten Bedingung von Art. 48 Abs. 1 (lit. a) VwVG (vgl. E. 1.1). Gleichzeitig folgt daraus, dass der Beschwerdeführerin auch kein Anspruch auf Erlass einer Feststellungsverfügung zusteht. Dies gilt hier umso mehr, als keine materielle Beschwer ( Art. 48 Abs. 1 lit. b und c VwVG ) gegeben ist: Die Beschwerdeführerin vermag sich nicht über ein rechtsgenügliches (Feststellungs-)Interesse auszuweisen. Es ist nicht ersichtlich, dass die tatsächliche "Umsetzung" der vom BAG festgelegten Prämienregionen durch die Versicherer genügend wahrscheinlich ist (vgl. Urteil 9C_143/2012 vom 22. März 2012 E. 4.2 mit Hinweisen; vgl. auch ISABELLE HÄNER, in: Praxiskommentar zum Bundesgesetz über das Verwaltungsverfahren, Waldmann/Weissenberger [Hrsg.], 2009, BGE 139 V 143 S. 148 N. 18 zu Art. 25 VwVG ). Ebenso wenig ist solches dargetan. Die Beschwerdeführerin bringt lediglich vor, die Zuteilung von Hemmental zur Prämienregion 1 lasse die Prämienverbilligungsbeiträge und die Sozialhilfekosten der Stadt ansteigen. Ausserdem beruft sie sich auf finanzielle Nachteile, die den Einwohnerinnen und Einwohnern der ehemaligen Gemeinde Hemmental drohen. Dem ist entgegenzuhalten, dass das Rechtsschutzinteresse ein eigenes zu sein hat (vgl. Urteil 9C_321/2012 vom 11. Juli 2012 E. 4 mit Hinweisen) (...). Schliesslich fehlen hinreichende Anhaltspunkte, dass die geltend gemachten wirtschaftlichen Nachteile in unmittelbarem Zusammenhang mit der (Neu-)Einteilung der Prämienregionen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