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w:t>
      </w:r>
    </w:p>
    <w:p>
      <w:r>
        <w:t>Bundesgericht (BGE), 2013-01-01, DE</w:t>
      </w:r>
    </w:p>
    <w:p>
      <w:r>
        <w:rPr>
          <w:b/>
        </w:rPr>
        <w:t xml:space="preserve">Quelle: </w:t>
      </w:r>
      <w:r>
        <w:t>https://mcp.opencaselaw.ch/entscheid/bge_BGE_139_V_1</w:t>
      </w:r>
    </w:p>
    <w:p>
      <w:r>
        <w:t>FR: ATF 139 V 1</w:t>
      </w:r>
    </w:p>
    <w:p>
      <w:r>
        <w:t>IT: DTF 139 V 1</w:t>
      </w:r>
    </w:p>
    <w:p>
      <w:pPr>
        <w:pStyle w:val="Heading2"/>
      </w:pPr>
      <w:r>
        <w:t>Regeste</w:t>
      </w:r>
    </w:p>
    <w:p>
      <w:r>
        <w:t>Regeste Art. 25 Abs. 1 ATSG; Art. 2 Abs. 1 lit. a ATSV; Rückerstattungspflicht der Nachkommen. Nachkommen, die die letztwillig verfügte Einsetzung eines Universalerben unangefochten liessen, sind keine Erben. Sie haben daher die zuvor durch den Erblasser zu Unrecht bezogenen Sozialversicherungsleistungen nicht zurückzuerstatten (E. 4).</w:t>
      </w:r>
    </w:p>
    <w:p>
      <w:r>
        <w:t>Regeste Art. 25 al. 1 LPGA; art. 2 al. 1 let. a OPGA; obligation de restituer des descendants. Les descendants, qui n'ont pas contesté l'institution par testament d'un héritier universel, ne sont pas héritiers. C'est pourquoi ils n'ont pas à restituer les prestations d'assurance sociale auparavant indûment touchées par le testateur (consid. 4).</w:t>
      </w:r>
    </w:p>
    <w:p>
      <w:r>
        <w:t>Regesto Art. 25 cpv. 1 LPGA; art. 2 cpv. 1 lett. a OPGA; obbligo di restituzione dei discendenti. I discendenti che non hanno impugnato l'istituzione testamentaria di un erede universale non sono eredi. Essi non sono pertanto tenuti a restituire le prestazioni assicurative sociali indebitamente riscosse dal de cuius (consid. 4).</w:t>
      </w:r>
    </w:p>
    <w:p>
      <w:pPr>
        <w:pStyle w:val="Heading2"/>
      </w:pPr>
      <w:r>
        <w:t>Erwägungen</w:t>
      </w:r>
    </w:p>
    <w:p>
      <w:r>
        <w:rPr>
          <w:b/>
        </w:rPr>
        <w:t>E. 3</w:t>
      </w:r>
    </w:p>
    <w:p>
      <w:r>
        <w:t>Die Rückforderungsverfügungen vom 10. August 2006 und die Einspracheentscheide vom 6. Juli 2011 haben die sozialversicherungsrechtlichen Rückerstattungsregeln als Rechtsgrundlage. BGE 139 V 1 S. 3</w:t>
      </w:r>
    </w:p>
    <w:p>
      <w:r>
        <w:rPr>
          <w:b/>
        </w:rPr>
        <w:t>E. 3.1</w:t>
      </w:r>
    </w:p>
    <w:p>
      <w:r>
        <w:t>Gemäss Art. 25 ATSG (SR 830.1), der auch auf Ergänzungsleistungen Anwendung findet ( Art. 2 ATSG in Verbindung mit Art. 1 Abs. 1 ELG [SR 831.30]),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2). Dabei handelt es sich um Verwirkungsfristen ( BGE 138 V 74 E. 4.1 S. 77 mit Hinweisen).</w:t>
      </w:r>
    </w:p>
    <w:p>
      <w:r>
        <w:rPr>
          <w:b/>
        </w:rPr>
        <w:t>E. 3.2</w:t>
      </w:r>
    </w:p>
    <w:p>
      <w:r>
        <w:t>Rückerstattungspflichtig sind der Bezüger oder die Bezügerin der unrechtmässig gewährten Leistungen und seine oder ihre Erben ( Art. 2 Abs. 1 lit. a ATSV [SR 830.11]).</w:t>
      </w:r>
    </w:p>
    <w:p>
      <w:r>
        <w:rPr>
          <w:b/>
        </w:rPr>
        <w:t>E. 4.1</w:t>
      </w:r>
    </w:p>
    <w:p>
      <w:r>
        <w:t>K. und O. sind als Nachkommen des A. sel. gesetzliche Erben ( Art. 457 Abs. 1 ZGB ). Dieser setzte in seinem Testament seine Lebenspartnerin als Alleinerbin ein. Die Beschwerdeführer bestritten in der Folge deren Erbberechtigung nicht. Ebenso steht fest, dass sie - anders als die getrennt lebende Ehefrau und zwei weitere Nachkommen - von einer Herabsetzungsklage ( Art. 522 ff. ZGB ) absahen. Mit anderen Worten akzeptierten die Beschwerdeführer, dass ihnen ihr Vater den Pflichtteil (vgl. Art. 470 Abs. 1 ZGB ) als Ganzes entzogen hatte.</w:t>
      </w:r>
    </w:p>
    <w:p>
      <w:r>
        <w:rPr>
          <w:b/>
        </w:rPr>
        <w:t>E. 4.2</w:t>
      </w:r>
    </w:p>
    <w:p>
      <w:r>
        <w:t>Der Erblasser ist befugt, durch Verfügung von Todes wegen einem Erben den Pflichtteil zu entziehen, wenn der Erbe gegen den Erblasser oder gegen eine diesem nahe verbundene Person eine schwere Straftat begangen hat oder wenn er gegenüber dem Erblasser oder einem von dessen Angehörigen die ihm obliegenden familienrechtlichen Pflichten schwer verletzt hat ( Art. 477 ZGB ). Bei fehlender oder ungenügender Angabe oder aber bei Unrichtigkeit des Grundes bzw. wenn der Grund die Enterbung nicht rechtfertigt, kann der Enterbte die Verfügung prinzipiell mittels der Herabsetzungsklage anfechten ( Art. 479 ZGB ; BGE 86 II 340 E. 1 S. 342; BGE 85 II 597 E. 3 S. 600; ROUSSIANOS/AUBERSON, in: Commentaire du droit des successions, 2012, N. 4 zu Art. 479 ZGB ; BALTHASAR BESSENICH, in: Basler Kommentar, Zivilgesetzbuch, Bd. II, 4. Aufl. 2011, N. 5 zu Art. 479 ZGB ; ROLAND FANKHAUSER, in: Praxiskommentar Erbrecht, 2. Aufl. 2011, N. 8 zu Art. 479 ZGB ; TUOR/SCHNYDER/SCHMID/RUMO-JUNGO, Das Schweizerische Zivilgesetzbuch, 13. Aufl. BGE 139 V 1 S. 4 2009, S. 671 Rz. 65; PETER WEIMAR, Berner Kommentar, 4. Aufl. 2009, N. 9 und 12 zu Art. 479 ZGB ; PAUL-HENRI STEINAUER, Le droit des successions, 2006, S. 212 Rz. 390; JEAN NICOLAS DRUEY, Grundriss des Erbrechts, 5. Aufl. 2002, S. 70 Rz. 68; ARNOLD ESCHER, Zürcher Kommentar, 3. Aufl. 1959, N. 3 zu Art. 479 ZGB ). Darüber hinaus bleibt ihm die Herabsetzungsklage verwehrt (insoweit ist Art. 478 Abs. 1 zweiter Satzteil ZGB missverständlich [FANKHAUSER, a.a.O., N. 1 zu Art. 478 ZGB ]). Der vollständig Enterbte besitzt keinen Pflichtteilsanspruch, keinen gesetzlichen Erbanspruch und auch keine Erbenstellung. Diese Konsequenz geht unmissverständlich aus der Formulierung von Art. 478 Abs. 1 erster Satzteil ZGB hervor und ergibt sich auch aus der Rechtsprechung (Urteil 5C.81/2003 vom 21. Januar 2004 E. 5.2 mit Hinweisen auf BGE 115 II 211 E. 4 S. 212; BGE 110 II 228 E. 7c S. 233; BGE 104 II 75 E. II 3b/bb S. 84 f.; BGE 102 II 329 E. 2a S. 333 und BGE 86 II 340 E. 5 S. 344 sowie auf eine Vielzahl von Autoren).</w:t>
      </w:r>
    </w:p>
    <w:p>
      <w:r>
        <w:rPr>
          <w:b/>
        </w:rPr>
        <w:t>E. 4.3</w:t>
      </w:r>
    </w:p>
    <w:p>
      <w:r>
        <w:t>In concreto erfolgte keine Enterbung im Rechtssinne. Die Beschwerdeführer wurden einfach übergangen. Im Endeffekt macht es jedoch keinen Unterschied, ob ein gesetzlicher Nachkomme im (handschriftlichen) Testament explizit ohne Grundangabe oder implizit mit der Einsetzung eines alleinigen Erben gänzlich von der Erbschaft ausgeschlossen wird. Es gibt keinen sachlichen Grund, nur im ersten Fall den Verlust der Erbenstellung anzunehmen. Auch der überwiegende Teil der Lehre trifft diesfalls keine Unterscheidung (ANTOINE EIGENMANN, in: Commentaire du droit des successions, 2012, N. 9 zu Art. 522 ZGB ; FORNI/PIATTI, in: Basler Kommentar, Zivilgesetzbuch, Bd. II, 4. Aufl. 2011, N. 2 Vorbemerkungen zu Art. 522-533 ZGB ; FANKHAUSER, a.a.O., N. 1 zu Art. 478 ZGB ; WEIMAR, a.a.O., N. 15 Vorbemerkungen vor Art. 470 ZGB ; DRUEY, a.a.O., S. 57 Rz. 12; PAUL PIOTET, in: Schweizerisches Privatrecht, Bd. IV/1, 1978, S. 415, differenziert: der Enterbte ist grundsätzlich in keinem Fall an der Erbschaft beteiligt, während der übergangene Erbe unter der Bedingung von der Erbschaft ausgeschlossen ist, dass die eingesetzten Erben definitiv alle erben). Soweit BGE 125 III 35 E. 3b/bb S. 40 f. etwas Gegenteiliges entnommen werden kann, vermag dies hier nicht als Massstab zu dienen. Einerseits handelt es sich um ein obiter dictum im Rahmen eines Auslegungsstreits, in welchem es um die Frage nach dem auf einen Nachlass anwendbaren Recht (deutsches oder schweizerisches Recht) ging. Dabei bildete ein öffentliches Testament Ausgangspunkt. Anderseits wurde in der fraglichen BGE 139 V 1 S. 5 Erwägung ausdrücklich erwähnt, dass die Erbenqualität eines pflichtteilsberechtigten Erben, der mittels Testament von der Erbschaft ausgeschlossen wurde, "kürzlich" ( BGE 104 II 75 E. II 3b/bb und cc S. 84 f.) - wie letztlich auch in BGE 125 III 35 - offengelassen wurde. Schliesslich blieb BGE 115 II 211 E. 4 S. 212 vollkommen ausser Betracht, obwohl das Bundesgericht darin unzweideutig erwogen hatte, dass der (ausgeschlossene) pflichtteilberechtigte Erbe die Erbeneigenschaft erst mit dem Herabsetzungsurteil verliehen bekommt. Dies ergibt sich - wie der zitierten Stelle weiter entnommen werden kann - aus der Natur des Herabsetzungsurteils als Gestaltungsurteil, wodurch die Verfügung, die den Pflichtteil verletzt, erst ihre Wirkung verliert (bestätigt in BGE 138 III 354 E. 5 S. 357 mit weiteren Hinweisen).</w:t>
      </w:r>
    </w:p>
    <w:p>
      <w:r>
        <w:rPr>
          <w:b/>
        </w:rPr>
        <w:t>E. 4.4</w:t>
      </w:r>
    </w:p>
    <w:p>
      <w:r>
        <w:t>Das Teilungsamt hielt in seinen Schlussbemerkungen zum öffentlichen Inventar vom (...) somit korrekt fest, dass die Beschwerdeführer, da "im jetzigen Zeitpunkt nicht erbberechtigt", keine Erklärungspflicht in Bezug auf den Erwerb der Erbschaft bzw. deren allfällige Ausschlagung treffe. An der mangelnden Erbeneigenschaft ändert der am (...) verfasste Nachtrag zum öffentlichen Inventar nichts, da die Beschwerdeführer weiterhin von einer Testamentsanfechtung resp. Herabsetzungsklage absahen. Im Übrigen wies das Teilungsamt im Begleitschreiben zum Nachtrag erneut darauf hin, dass die Beschwerdeführer "heute keine Erbenstellung" besässen und ohne Gegenbericht innert 20 Tagen davon ausgegangen werde, dass sie stillschweigend auf eine solche verzichteten. Insoweit die Vorinstanz dazu erwog, der Verzicht auf die Erbenstellung sei abschliessend im ZGB geregelt und könne nicht stillschweigend angenommen werden, lässt sie ausser Acht, dass eine Verfügung von Todes wegen weder im Falle eines formellen noch in jenem eines inhaltlichen Mangels eo ipso nichtig ist. Sie besteht zunächst zu Recht, wird aber vom Gericht als ungültig erklärt, falls innerhalb bestimmter Zeit ein daran interessierter Erbe oder Bedachter klagt. Unterbleibt die Erhebung der Ungültigkeits- oder Herabsetzungsklage ( Art. 519 ff. und 522 ff. ZGB ), behält die Verfügung von Todes wegen ihre Wirksamkeit (vgl. E. 4.3 in fine; BGE 138 III 354 E. 5 S. 357 f.; BGE 115 II 211 E. 4 S. 212; BGE 91 II 327 E. 4 S. 332; BGE 86 II 340 E. 5 S. 344; DANIEL STAEHELIN, in: Basler Kommentar, Zivilgesetzbuch, Bd. II, 4. Aufl. 2011, N. 4 zu Art. 470 ZGB ). Wird eine allfällige Herabsetzungsklage gutgeheissen, verschafft dies lediglich dem klagenden Pflichtteilserben die Erbenstellung ( BGE 115 II 211 E. 4 S. 212; STAEHELIN, a.a.O.). BGE 139 V 1 S. 6</w:t>
      </w:r>
    </w:p>
    <w:p>
      <w:r>
        <w:rPr>
          <w:b/>
        </w:rPr>
        <w:t>E. 4.5</w:t>
      </w:r>
    </w:p>
    <w:p>
      <w:r>
        <w:t>Nach dem Gesagten verfügen die Beschwerdeführer über keine Erbenqualität. Sie sind daher für die durch ihren Vater unrechtmässig bezogenen Ergänzungsleistungen nicht rückerstattungspflichtig (vgl.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