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325</w:t>
      </w:r>
    </w:p>
    <w:p>
      <w:r>
        <w:t>Bundesgericht (BGE), 2013-04-16, FR</w:t>
      </w:r>
    </w:p>
    <w:p>
      <w:r>
        <w:rPr>
          <w:b/>
        </w:rPr>
        <w:t xml:space="preserve">Quelle: </w:t>
      </w:r>
      <w:r>
        <w:t>https://mcp.opencaselaw.ch/entscheid/bge_BGE_139_I_325</w:t>
      </w:r>
    </w:p>
    <w:p>
      <w:r>
        <w:t>FR: ATF 139 I 325</w:t>
      </w:r>
    </w:p>
    <w:p>
      <w:r>
        <w:t>IT: DTF 139 I 325</w:t>
      </w:r>
    </w:p>
    <w:p>
      <w:pPr>
        <w:pStyle w:val="Heading2"/>
      </w:pPr>
      <w:r>
        <w:t>Regeste</w:t>
      </w:r>
    </w:p>
    <w:p>
      <w:r>
        <w:t>Regeste Art. 8 EMRK; Tragweite des Entscheids des EGMR Udeh gegen die Schweiz vom 16. April 2013. Soweit sich der Entscheid i.S. Udeh gegen die Schweiz überwiegend auf Tatsachen stützt, welche sich erst nach dem letztinstanzlichen kantonalen Urteil und auch nach dem Bundesgerichtsentscheid ereigneten, ist seine Tragweite stark relativiert (E. 2.4).</w:t>
      </w:r>
    </w:p>
    <w:p>
      <w:r>
        <w:t>Regeste Art. 8 CEDH; portée de l'arrêt de la CourEDH Udeh contre Suisse du 16 avril 2013. Dans la mesure où l'arrêt en question se fonde de manière prépondérante sur des faits postérieurs au jugement de dernière instance cantonale et même à l'arrêt du Tribunal fédéral, sa portée ne peut qu'être fortement relativisée (consid. 2.4).</w:t>
      </w:r>
    </w:p>
    <w:p>
      <w:r>
        <w:t>Regesto Art. 8 CEDU; portata della sentenza della CorteEDU Udeh contro Svizzera del 16 aprile 2013. Nella misura in cui la sentenza in questione si fonda in maniera preponderante su fatti posteriori al giudizio di ultima istanza cantonale e addirittura a quello del Tribunale federale, la sua portata non può che essere fortemente relativizzata (consid. 2.4).</w:t>
      </w:r>
    </w:p>
    <w:p>
      <w:pPr>
        <w:pStyle w:val="Heading2"/>
      </w:pPr>
      <w:r>
        <w:t>Erwägungen</w:t>
      </w:r>
    </w:p>
    <w:p>
      <w:r>
        <w:rPr>
          <w:b/>
        </w:rPr>
        <w:t>E. 2.4</w:t>
      </w:r>
    </w:p>
    <w:p>
      <w:r>
        <w:t>Le recourant fonde son recours quasiment exclusivement sur l'arrêt de la CourEDH Udeh contre Suisse du 16 avril 2013 (in Plaidoyer 2013 3 p. 58), lequel a abouti à une condamnation de la Suisse BGE 139 I 325 S. 328 pour violation de l' art. 8 CEDH . Il convient d'abord de mentionner que ce jugement, qui n'est pas une décision de principe (cf. arrêts 2C_339/2013 du 18 juillet 2013 consid. 2.9; 2C_139/2013 du 11 juin 2013 consid. 7.5) et qui n'est au demeurant pas encore définitif (cf. art. 44 par. 2 CEDH ), n'énonce aucun principe nouveau qui n'aurait été consacré auparavant dans la jurisprudence de la CourEDH, notamment dans l'affaire (...) Üner contre Pays-Bas (du 18 octobre 2006, Recueil CourEDH 2006-XII p. 159 §§ 54-60), auquel cet arrêt se réfère, ou dans celle du Tribunal fédéral. De ce point de vue, il ne s'agit donc que d'un arrêt parmi une abondante jurisprudence consacrée à l' art. 8 par. 2 CEDH . Ensuite, il n'est pas possible de faire abstraction du fait que la condamnation de la Suisse résulte presque exclusivement de la prise en compte par la CourEDH de faits postérieurs à l'arrêt rendu par le Tribunal fédéral. Alors que ce dernier est contraint par l' art. 105 al. 1 LTF de fonder son jugement sur les faits retenus par l'autorité précédente - en l'espèce le Tribunal cantonal -, la CourEDH a pris en considération les faits survenus non seulement après l'arrêt du Tribunal cantonal, mais encore après l'arrêt rendu par le Tribunal fédéral. Ainsi, le Tribunal fédéral a fondé son jugement et l'appréciation du comportement du recourant sur des faits arrêtés au 14 mai 2008, alors que la CourEDH a pris en compte des faits survenus entre cette date et le 4 décembre 2012, respectivement le 26 mars 2013, ce qui ne va pas sans poser des problèmes de coordination entre les juridictions nationales et la CourEDH. En effet, la CourEDH rappelle fréquemment qu'aux termes de l'art. 35 par. 1 de la Convention, elle ne peut être saisie qu'après l'épuisement des voies de recours internes. La finalité de cette disposition est de ménager aux Etats contractants l'occasion de prévenir ou de redresser les violations alléguées contre eux avant que la Cour n'en soit saisie. La règle de l'art. 35 par. 1 se fonde sur l'hypothèse, envisagée à l'art. 13, avec lequel elle présente d'étroites affinités, que l'ordre interne offre un recours effectif quant à la violation alléguée, ledit recours devant par ailleurs être "à la fois relatif aux violations incriminées , disponible et adéquat" (voir, parmi de nombreux autres, les arrêts Polidario contre Suisse du 30 juillet 2013 § 49; Claes contre Belgique du 10 janvier 2013 § 77). La règle en question n'a ainsi de sens que dans la mesure où le Tribunal fédéral peut corriger une violation incriminée, donc déjà survenue, non pas une éventuelle violation commise après son arrêt. La doctrine a d'ailleurs pu estimer que prendre en compte BGE 139 I 325 S. 329 de tels faits "foule aux pieds la ratio legis de la règle d'épuisement des voies de recours" (SÉBASTIEN VAN DROOGHENBROECK, La proportionnalité dans le droit de la convention européenne des droits de l'homme, Bruxelles 2001, ch. 362 p. 267). De plus, la CourEDH prend en considération non seulement des faits postérieurs à l'arrêt contesté devant elle, mais encore des circonstances relatives notamment à la vie conjugale qui existaient lorsque les juridictions nationales ont statué, mais qui ont disparu par la suite. En procédant de la sorte, elle relève tous les éléments qui plaident en faveur du requérant, sans que ceux-ci aient été réalisés en même temps. Par ailleurs, la CourEDH rappelle également constamment que les autorités nationales jouissent d'une certaine marge d'appréciation pour se prononcer sur la nécessité, dans une société démocratique, d'une ingérence dans l'exercice d'un droit protégé par l'art. 8 et sur la proportionnalité de la mesure en question au but légitime poursuivi (cf. p. ex. arrêt Hasanbasic contre Suisse du 11 juin 2013 § 56, in Plaidoyer 2013 4 p. 56). En ce sens, selon la jurisprudence constante de la CourEDH, sa tâche consiste à déterminer si les mesures litigieuses ont respecté un juste équilibre entre les intérêts en présence, à savoir, d'une part, les droits de l'intéressé protégés par la Convention et, d'autre part, les intérêts de la société. Or, un tel mécanisme de contrôle ne saurait s'exercer qu'en fonction de la situation dans laquelle se trouvait la juridiction nationale au moment de trancher, dans la mesure en tout cas où le recours en question était effectif et que la cause ne concerne pas des mesures provisionnelles. En d'autres termes, savoir si un Etat défendeur a outrepassé la marge d'appréciation dont il jouissait dans un cas d'espèce est une question qui ne peut être tranchée qu'au regard des faits déterminants dont la juridiction nationale concernée avait connaissance au moment de trancher. Cela ne peut se faire en incorporant - qui plus est en leur reconnaissant une importance déterminante - des faits postérieurs à l'arrêt national. Ce principe a d'ailleurs été énoncé par la CourEDH elle-même en de nombreux arrêts (cf. VAN DROOGHENBROECK, op. cit., ch. 359 ss et note de bas de page 429, ainsi que les arrêts cités, notamment Baghli contre France du 30 novembre 1999, Recueil CourEDH 1999-VIII p. 187 § 36; Lithgow et autres contre Royaume-Uni du 8 juillet 1986, série A vol. 102 § 132; Engel et autres contre Pays-Bas du 8 juin 1976, série A vol. 22-A § 72; W. contre Suisse du 26 janvier 1993, série A vol. 254-A § 33). Si une dérogation à ce BGE 139 I 325 S. 330 principe peut se justifier dans certaines hypothèses particulières, tel n'est pas le cas lorsque le justiciable, comme en droit administratif suisse, peut formuler ultérieurement une nouvelle requête devant les autorités administratives, en faisant précisément valoir que, depuis l'arrêt de la dernière instance nationale, la situation a évolué de manière à justifier l'ouverture d'une nouvelle procédure tendant à l'obtention d'une autorisation de séjour. A cette occasion, il peut invoquer tant l'écoulement du temps que, par exemple, le fait qu'il s'est entre-temps comporté de manière conforme au droit. Il découle de ce qui précède que, dans la mesure où l'arrêt Udeh contre Suisse dont se prévaut le recourant se fonde de manière prépondérante sur des faits postérieurs à l'arrêt rendu par le Tribunal fédéral, sa portée ne peut qu'être fortement relativisée.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