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31</w:t>
      </w:r>
    </w:p>
    <w:p>
      <w:r>
        <w:t>Bundesgericht (BGE), 2012-10-12, DE</w:t>
      </w:r>
    </w:p>
    <w:p>
      <w:r>
        <w:rPr>
          <w:b/>
        </w:rPr>
        <w:t xml:space="preserve">Quelle: </w:t>
      </w:r>
      <w:r>
        <w:t>https://mcp.opencaselaw.ch/entscheid/bge_BGE_139_I_31</w:t>
      </w:r>
    </w:p>
    <w:p>
      <w:r>
        <w:t>FR: ATF 139 I 31</w:t>
      </w:r>
    </w:p>
    <w:p>
      <w:r>
        <w:t>IT: DTF 139 I 31</w:t>
      </w:r>
    </w:p>
    <w:p>
      <w:pPr>
        <w:pStyle w:val="Heading2"/>
      </w:pPr>
      <w:r>
        <w:t>Regeste</w:t>
      </w:r>
    </w:p>
    <w:p>
      <w:r>
        <w:t>Regeste Art. 8 EMRK; Art. 121 Abs. 3 BV (Fassung vom 28. November 2010); Art. 63 Abs. 1 lit. a i.V.m. Art. 62 lit. b sowie Art. 96 AuG; Widerruf einer Niederlassungsbewilligung bei qualifizierter Widerhandlung gegen das Betäubungsmittelgesetz ("Drogenhandel"). Zusammenfassung der Rechtsprechung zum Widerruf einer Niederlassungsbewilligung bei Straffälligkeit und langjährigem Aufenthalt in der Schweiz; Tragweite von Art. 121 Abs. 3 BV (E. 2). Interessenabwägung im konkreten Fall (E. 3).</w:t>
      </w:r>
    </w:p>
    <w:p>
      <w:r>
        <w:t>Regeste Art. 8 CEDH; art. 121 al. 3 Cst. (version du 28 novembre 2010); art. 63 al. 1 let. a en relation avec l'art. 62 let. b ainsi que l'art. 96 LEtr; révocation d'une autorisation d'établissement en cas d'infraction qualifiée à la loi sur les stupéfiants ("trafic de stupéfiants"). Résumé de la jurisprudence relative à la révocation d'une autorisation d'établissement en cas de comportement pénal et de long séjour en Suisse; portée de l'art. 121 al. 3 Cst. (consid. 2). Pesée des intérêts dans le cas concret (consid. 3).</w:t>
      </w:r>
    </w:p>
    <w:p>
      <w:r>
        <w:t>Regesto Art. 8 CEDU; art. 121 cpv. 3 Cost. (versione del 28 novembre 2010); art. 63 cpv. 1 lett. a in relazione con l'art. 62 lett. b e l'art. 96 LStr; revoca di un permesso di domicilio nel caso di un'infrazione qualificata alla legge sugli stupefacenti ("traffico di stupefacenti"). Riassunto della giurisprudenza relativa alla revoca di un permesso di domicilio in caso di comportamento penalmente rilevante e di lungo soggiorno in Svizzera; portata dell'art. 121 cpv. 3 Cost. (consid. 2). Ponderazione degli interessi nella fattispecie concreta (consid. 3).</w:t>
      </w:r>
    </w:p>
    <w:p>
      <w:pPr>
        <w:pStyle w:val="Heading2"/>
      </w:pPr>
      <w:r>
        <w:t>Erwägungen</w:t>
      </w:r>
    </w:p>
    <w:p>
      <w:r>
        <w:rPr>
          <w:b/>
        </w:rPr>
        <w:t>E. 2.1</w:t>
      </w:r>
    </w:p>
    <w:p>
      <w:r>
        <w:t>Die Niederlassungsbewilligung kann widerrufen werden, wenn der Ausländer zu einer längerfristigen Freiheitsstrafe, d.h. zu einer solchen von mehr als einem Jahr, verurteilt worden ist, wobei mehrere unterjährige Strafen bei der Berechnung nicht kumuliert werden dürfen (Art. 63 Abs. 1 lit. a i.V.m. Art. 62 lit. b AuG [SR 142.20]; BGE BGE 135 II 377 E. 4.2 S. 381; BGE 137 II 297 E. 2). Keine Rolle spielt, ob die Sanktion bedingt, teilbedingt oder unbedingt ausgesprochen wurde (Urteil 2C_515/2009 vom 27. Januar 2010 E. 2.1). Ein Widerruf ist auch möglich, wenn der Ausländer in schwerwiegender Weise gegen die öffentliche Sicherheit und Ordnung in der Schweiz oder im BGE 139 I 31 S. 33 Ausland verstossen oder diese gefährdet hat (Art. 63 Abs. 1 lit. b AuG). Die Praxis geht hiervon aus, wenn er durch sein Handeln besonders hochwertige Rechtsgüter verletzt oder in Gefahr gebracht hat, sich von strafrechtlichen Massnahmen nicht beeindrucken lässt und sich im Rahmen einer Gesamtbetrachtung zeigt, dass er auch künftig weder gewillt noch fähig erscheint, sich an die Rechtsordnung zu halten ( BGE 137 II 297 E. 3 S. 302 ff.; Urteile 2C_562/2011 vom 21. November 2011 E. 3.2 und 2C_310/2011 vom 17. November 2011 E. 5). Die genannten Widerrufsgründe gelten auch, falls der Ausländer sich seit mehr als 15 Jahren ununterbrochen und ordnungsgemäss im Land aufgehalten hat (Art. 63 Abs. 2 AuG).</w:t>
      </w:r>
    </w:p>
    <w:p>
      <w:r>
        <w:rPr>
          <w:b/>
        </w:rPr>
        <w:t>E. 2.2</w:t>
      </w:r>
    </w:p>
    <w:p>
      <w:r>
        <w:t>Mit der Verurteilung zu einer Freiheitsstrafe von 24 Monaten (bedingt) ist der Widerrufsgrund von Art. 62 lit. b (i.V.m. Art. 63 Abs. 1 lit. a) AuG gegeben, was der Beschwerdeführer nicht bestreitet. Die Vorinstanz hat zudem angenommen, dass ein schwerwiegender Verstoss gegen die öffentliche Sicherheit und Ordnung vorliegt; der Beschwerdeführer wendet sich auch nicht hiergegen.</w:t>
      </w:r>
    </w:p>
    <w:p>
      <w:r>
        <w:rPr>
          <w:b/>
        </w:rPr>
        <w:t>E. 2.3.1</w:t>
      </w:r>
    </w:p>
    <w:p>
      <w:r>
        <w:t>Nach Art. 63 AuG kann die Niederlassungsbewilligung widerrufen werden. Die Massnahme muss - wie jedes staatliche Handeln - verhältnismässig sein (vgl. Art. 5 Abs. 2 BV ; Art. 96 AuG). Zur Beurteilung der Frage, ob dies der Fall ist, sind namentlich die Schwere des Delikts und des Verschuldens des Betroffenen, der seit der Tat vergangene Zeitraum, das Verhalten des Ausländers während diesem, der Grad seiner Integration bzw. die Dauer der bisherigen Anwesenheit sowie die ihm und seiner Familie drohenden Nachteile zu berücksichtigen ( BGE 135 II 377 E. 4.3).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(vgl. das Urteil 2C_562/2011 vom 21. November 2011 E. 3.3 [Widerruf der Niederlassungsbewilligung eines hier geborenen 43-jährigen Türken] und das Urteil des Europäischen Gerichtshofs für Menschenrechte [EGMR] Trabelsi gegen Deutschland vom 13. Oktober 2011 [Nr. 41548/06] §§ 53 ff., bezüglich der Ausweisung eines in Deutschland geborenen, wiederholt straffällig gewordenen Tunesiers). Bei schweren Straftaten, Rückfall und wiederholter Delinquenz besteht - überwiegende private oder familiäre Bindungen vorbehalten - auch in diesen Fällen ein öffentliches BGE 139 I 31 S. 34 Interesse daran, zur Aufrechterhaltung der Ordnung bzw. Verhütung von (weiteren) Straftaten die Anwesenheit des Ausländers zu beenden (vgl. das Urteil 2C_903/2010 vom 6. Juni 2011 E. 3.1, nicht publ. in BGE 137 II 233 ; BGE 130 II 176 E. 4.4.2 S. 190 [vier Jahre Zuchthaus; Raub, Brandstiftung, Betrug usw.]; BGE 122 II 433 FE. 3 [Einweisung in eine Arbeitserziehungsanstalt bzw. dreieinhalb Jahre Zuchthaus; Mord, qualifizierter Raub, Vergewaltigung]).</w:t>
      </w:r>
    </w:p>
    <w:p>
      <w:r>
        <w:rPr>
          <w:b/>
        </w:rPr>
        <w:t>E. 2.3.2</w:t>
      </w:r>
    </w:p>
    <w:p>
      <w:r>
        <w:t>Bei schweren Straftaten, wozu auch Drogendelikte aus rein finanziellen Motiven gehören können, muss zum Schutz der Öffentlichkeit ausländerrechtlich selbst ein geringes Restrisiko weiterer Beeinträchtigungen der dadurch gefährdeten Rechtsgüter (Gesundheit; Leib und Leben usw.) nicht in Kauf genommen werden ( BGE 130 II 176 E. 4.2-4.4 S. 185 ff. mit Hinweisen). Das Bundesgericht stuft - in Übereinstimmung mit der in Europa vorherrschenden Auffassung (vgl. die EGMR-Urteile Dalia gegen Frankreich vom 19. Februar 1998 , Recueil CourEDH 1998-I S. 92 § 54 und Koffi gegen Schweiz vom 15. November 2012 [Nr. 38005/07] § 65) - diesbezüglich das öffentliche Interesse an der Wegweisung bzw. an der Fernhaltung eines entsprechenden Täters hoch ein ( BGE 129 II 215 E. 6 und 7; BGE 125 II 521 E. 4a/aa S. 527). Der Drogenhandel ist eine der in Art. 121 Abs. 3 BV (Fassung vom 28. November 2010) genannten Anlasstaten, die nach dem Verfassungsgeber dazu führen soll, dass der entsprechende Täter aus der Schweiz ausgewiesen und mit einem Einreiseverbot belegt wird. Der entsprechenden Wertung ist im Rahmen der Interessenabwägung nach Art. 8 Ziff. 2 EMRK bzw. der Anwendung von Art. 96 AuG insoweit Rechnung zu tragen, als dies zu keinem Widerspruch zu übergeordnetem Recht bzw. zu Konflikten mit dem Beurteilungsspielraum führt, den der EGMR den einzelnen Konventionsstaaten bei der Umsetzung ihrer Migrations- und Ausländerpolitik im Rahmen des Rechts auf Schutz des Privat- und Familienlebens belässt. Der Grundsatz, wonach unter mehreren möglichen Auslegungen diejenige zu wählen ist, die der Verfassung am besten entspricht, ist allgemein anerkannt (statt vieler BGE 131 II 562 E. 3.5; BGE 131 III 623 E. 2.4.4 S. 630; BGE 131 IV 23 E. 3.1, BGE 131 IV 160 E. 3.3.1; BGE 130 II 65 E. 4.2 S. 71) und bezieht sich insbesondere auch auf Verfassungsbestimmungen, die - wie die Regelung in Art. 121 Abs. 3-6 BV (vgl. BGE 139 I 16 ) - nicht unmittelbar anwendbar sind (vgl. BGE 131 V 9 E. 3.5.1.2 S. 16).</w:t>
      </w:r>
    </w:p>
    <w:p>
      <w:r>
        <w:rPr>
          <w:b/>
        </w:rPr>
        <w:t>E. 2.3.3</w:t>
      </w:r>
    </w:p>
    <w:p>
      <w:r>
        <w:t>Der Europäische Gerichtshof für Menschenrechte stützt sich bei der Beurteilung der Zulässigkeit aufenthaltsbeendender BGE 139 I 31 S. 35 Massnahmen im Rahmen von Art. 8 Ziff. 2 EMRK (Schutz des Privat- und Familienlebens) auf die gleichen Aspekte wie die bundesgerichtliche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(vgl. etwa die EGMR-Urteile Emre gegen die Schweiz vom 22. Mai 2008 [Nr. 42034/04] § 64 ff. [Verurteilung zu insgesamt 18 ½ Monaten Freiheitsentzug wegen Drohung, Körperverletzung,Tätlichkeiten, Diebstahls usw. - Verletzung von Art. 8 EMRK ] undUrteil Boultif gegen die Schweiz vom 2. August 2001 [Nr. 54273/00]§ 46 ff. [Verurteilung wegen Raubes zu einer Zuchthausstrafe von zwei Jahren - Verletzung von Art. 8 EMRK ]). Nach der Praxis desEGMR überwiegt bei Betäubungsmitteldelikten (ohne Konsum) regelmässig das öffentliche Interesse an der Beendigung des Aufenthalts, falls keine besonderen persönlichen oder familiären Bindungen im Aufenthaltsstaat bestehen; ist die betroffene Person ledig und kinderlos, setzt sich tendenziell das öffentliche Fernhalteinteresse durch, sofern das Strafmass drei Jahre Freiheitsstrafe erreicht oder weitere erhebliche Delikte hinzukommen (vgl. KARL-GEORG MAYER, Systemwechsel im Ausweisungsrecht - der Schutz "faktischer Inländer" mit und ohne familiäre Bindungen nach dem Grundgesetz und der Europäischen Menschenrechtskonvention [EMRK], Verwaltungs-Archiv101/2010 S. 482 ff., dort 537). Im Urteil Balogun gegen Vereinigtes Königreich vom 10. April 2012 (Nr. 60286/09) verneinte der EGMR eine Verletzung von Art. 8 EMRK bei der Ausweisung eines mit drei Jahren eingereisten Nigerianers, der wegen Drogenhandels im Erwachsenenalter zu drei Jahren Freiheitsstrafe verurteilt worden ist. In der Sache Maslov gegen Österreich vom 23. Juni 2008 (Nr. 1638/03) erkannte die Grosse Kammer auf eine Verletzung von Art. 8 EMRK in einem Fall, in dem es um die Aufenthaltsbeendigung eines als Kind eingereisten, wegen verschiedener Delikte (gewerbsmässigen Bandendiebstahls, Bandenbildung, Erpressung, Köperverletzung usw.) zu 18 und 15 Monaten Freiheitsstrafe verurteilten drogenabhängigen Bulgaren ging (vgl. dort §§ 77 ff.). Hinsichtlich des BGE 139 I 31 S. 36 Strafrahmens von drei Jahren ist zu berücksichtigen, dass Drogendelikte nicht überall in gleicher Art verfolgt und bestraft werden, weshalb die entsprechende Grenze nur als Richtwert dienen kann; ausschlaggebend sind immer die Umstände des Einzelfalls.</w:t>
      </w:r>
    </w:p>
    <w:p>
      <w:r>
        <w:rPr>
          <w:b/>
        </w:rPr>
        <w:t>E. 3.1</w:t>
      </w:r>
    </w:p>
    <w:p>
      <w:r>
        <w:t>Das Verwaltungsgericht des Kantons Thurgau hat den genannten Aspekten angemessen Rechnung getragen und die widerstreitenden Interessen korrekt gegeneinander abgewogen; sein Entscheid verletzt weder Bundes(verfassungs)- noch Konventionsrecht: Der Beschwerdeführer wurde wegen Vermittelns, Beförderns und Lagerns einer erheblichen Menge Heroin zu einer Freiheitsstrafe von 24 Monaten bedingt verurteilt; er hat im Drogenmilieu verschiedene Gehilfenhandlungen im Zusammenhang mit insgesamt rund 4 Kilogramm Heroin erbracht und damit die Gesundheit einer Vielzahl von Menschen gefährdet. Zwar trat er nicht als Haupttäter auf, doch unterstützte er diesen aktiv über rund zwei Monate hinweg; erst die Verhaftung setzte seiner Delinquenz ein Ende. Der Beschwerdeführer befand sich in keiner finanziellen oder persönlichen Notlage; auch war er nicht selber abhängig. Weder die Beziehungen zu seiner hier aufenthaltsberechtigten Familie (Eltern, Geschwister) noch die von ihm heute hervorgehobene Integration in der Schweiz vermochten ihn davon abzuhalten, sich in entscheidender Weise am Drogenhandel zu beteiligen. Obwohl er zurzeit der Tat erst knapp 20 Jahre alt war, kann nicht gesagt werden, dass es sich dabei um Jugendkriminalität gehandelt hätte. Die zur Diskussion stehenden Tatbeiträge gehen klarerweise hierüber hinaus, auch wenn der Beschwerdeführer unüberlegt und in erster Linie unter dem Druck der Gruppe gehandelt haben will. Die Tatsache, dass er aus reiner Gefälligkeit tätig geworden ist, weist auf eine gewisse Beeinflussbarkeit hin, welche weitere Straftaten nicht ausschliesst.</w:t>
      </w:r>
    </w:p>
    <w:p>
      <w:r>
        <w:rPr>
          <w:b/>
        </w:rPr>
        <w:t>E. 3.2</w:t>
      </w:r>
    </w:p>
    <w:p>
      <w:r>
        <w:t>Im Vergleich zu dem im Verfahren in BGE 139 I 16 beurteilten Fall eines Tatkomplizen ist der Beschwerdeführer schwerer straffällig geworden. Wurde jener wegen der Beteiligung bezüglich eines Kilogramms Heroin zu einer Freiheitsstrafe von 18 Monaten (bedingt) verurteilt, ist gegen ihn eine Strafe von 24 Monaten (bedingt) ergangen. Seine kriminelle Energie war grösser als jene seines Komplizen. Dieser hat sich in der Schweiz gesamthaft zudem besser eingelebt: Er ist zuvor nie - auch nicht jugendrechtlich - straffällig geworden; überdies hat er eine Anlehre abgeschlossen und ist er auf dem Arbeitsmarkt integriert. Der Beschwerdeführer verfügt BGE 139 I 31 S. 37 seinerseits über keine abgeschlossene Berufsausbildung und war von April 2009 bis Oktober 2010 arbeitslos. Zwar ist er heute verlobt, doch lebt das Paar erst seit September 2011 zusammen. Seine Verlobte, welche am 31. Juli 2009 eingebürgert wurde, hält sich seit zehn Jahren in der Schweiz auf, stammt jedoch ursprünglich ebenfalls aus Mazedonien; sie kennt die dortigen Verhältnisse und Gebräuche. Es ist ihr somit zumutbar, den Beschwerdeführer gegebenenfalls auch in ihre frühere Heimat zu begleiten. Dies gilt umso mehr, als sie mit Blick auf die Schwere der Straffälligkeit ihres Verlobten nicht ohne Weiteres davon ausgehen durfte, ihre Beziehung künftig in der Schweiz leben zu können. Der Beschwerdeführer weist daraufhin, dass er in Mazedonien kaum mehr über Familienangehörige verfügt; er vermag damit indessen nicht darzutun, dass er keinerlei Beziehungen mehr zu seiner Heimat unterhielte, zumal er seine Straftaten mit Landsleuten begangen hat und er Albanisch spricht, womit er in seiner Heimat zumindest in einer Minderheitensprache wird kommunizieren können. Die Beziehungen zu seinen Familienangehörigen kann er von dort aus besuchsweise bzw. über die neuen Kommunikationsmittel aufrechterhalten. Dass der Beschwerdeführer sich seit seiner Verhaftung bzw. Verurteilung nichts mehr hat zuschulden kommen lassen, spricht nicht zwingend gegen eine Rückfallgefahr, befand er sich doch in der strafrechtlichen Probezeit; zudem war das aufenthaltsrechtliche Widerrufsverfahren noch hängig. Wenn ausländischen Staatsangehörigen bei Straffälligkeit schliesslich fremdenrechtlich andere Konsequenzen drohen als Schweizer Bürgern, liegt dies in der Natur der Sache; es besteht mit der Staatsbürgerschaft diesbezüglich ein sachlicher Grund für die behauptete Ungleichbehandlung.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