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w:t>
      </w:r>
    </w:p>
    <w:p>
      <w:r>
        <w:t>Bundesgericht (BGE), 2012-11-07, DE</w:t>
      </w:r>
    </w:p>
    <w:p>
      <w:r>
        <w:rPr>
          <w:b/>
        </w:rPr>
        <w:t xml:space="preserve">Quelle: </w:t>
      </w:r>
      <w:r>
        <w:t>https://mcp.opencaselaw.ch/entscheid/bge_BGE_139_I_2</w:t>
      </w:r>
    </w:p>
    <w:p>
      <w:r>
        <w:t>FR: ATF 139 I 2</w:t>
      </w:r>
    </w:p>
    <w:p>
      <w:r>
        <w:t>IT: DTF 139 I 2</w:t>
      </w:r>
    </w:p>
    <w:p>
      <w:pPr>
        <w:pStyle w:val="Heading2"/>
      </w:pPr>
      <w:r>
        <w:t>Regeste</w:t>
      </w:r>
    </w:p>
    <w:p>
      <w:r>
        <w:t>Regeste Art. 34 BV; Stimmrechtsbeschwerde zur Umsetzung einer Planungsinitiative und zu den entsprechenden Erläuterungen des Gemeinderates zuhanden der Gemeindeversammlung. Bei der Umsetzung einer angenommenen Planungsinitiative ist eine Vorlage eines Planerlasses oder von Plananpassungen auszuarbeiten, die dem mit der Initiative angestrebten planerischen Ergebnis entsprechen und grundsätzlich mit dem höherrangigen Recht, insbesondere der Eigentumsgarantie, vereinbar erscheinen. Hinsichtlich des räumlichen Ausmasses einer Umzonung kommt den Gemeindebehörden ein gewisser Ermessensspielraum zu (E. 5). Vereinbarkeit von Abstimmungserläuterungen mit der Garantie der politischen Rechte (E. 6).</w:t>
      </w:r>
    </w:p>
    <w:p>
      <w:r>
        <w:t>Regeste Art. 34 Cst.; recours pour violation des droits politiques concernant la mise en oeuvre d'une initiative tendant à une mesure de planification, ainsi que les explications du Conseil communal à l'attention de l'assemblée communale. Lors de la mise en oeuvre d'une initiative acceptée, il y a lieu d'élaborer un projet d'adoption - ou d'adaptation - de la planification qui corresponde au résultat de planification voulu par l'initiative et soit en principe compatible avec le droit supérieur, en particulier la garantie de la propriété. Les autorités communales disposent d'un certain pouvoir d'appréciation s'agissant de l'étendue d'un changement d'affectation (consid. 5). Compatibilité du message explicatif avec la garantie des droits politiques (consid. 6).</w:t>
      </w:r>
    </w:p>
    <w:p>
      <w:r>
        <w:t>Regesto Art. 34 Cost.; ricorso per violazione dei diritti politici nell'ambito dell'attuazione di un'iniziativa pianificatoria e in relazione alle attinenti spiegazioni del Municipio all'intenzione dell'Assemblea comunale. Nell'ambito dell'attuazione di un'iniziativa pianificatoria accettata dal popolo dev'essere elaborato un progetto d'adozione o di adeguamento di un piano, che corrisponda agli scopi pianificatori perseguiti dall'iniziativa e sia di massima compatibile con il diritto superiore, in particolare con la garanzia della proprietà. Riguardo alle dimensioni spaziali di un cambiamento di destinazione, alle autorità comunali compete un certo margine di apprezzamento (consid. 5). Compatibilità del messaggio esplicativo con la garanzia dei diritti politici (consid. 6).</w:t>
      </w:r>
    </w:p>
    <w:p>
      <w:pPr>
        <w:pStyle w:val="Heading2"/>
      </w:pPr>
      <w:r>
        <w:t>Erwägungen</w:t>
      </w:r>
    </w:p>
    <w:p>
      <w:r>
        <w:rPr>
          <w:b/>
        </w:rPr>
        <w:t>E. 5.1</w:t>
      </w:r>
    </w:p>
    <w:p>
      <w:r>
        <w:t>In der Sache ist vorweg zu prüfen, ob der Entscheid des Gemeinderates über die Umzonung des Steinfabrikareals, wie er der Gemeindeversammlung vorgelegt werden soll, mit dem Volksentscheid über die entsprechende Initiative vereinbar ist. Die Beschwerdeführerin legt nicht rechtsgenüglich dar, dass einschlägiges kantonales Recht nach Art. 95 lit. c und d BGG verletzt sei. Es ist daher lediglich zu prüfen, ob Art. 34 BV eingehalten wird.</w:t>
      </w:r>
    </w:p>
    <w:p>
      <w:r>
        <w:rPr>
          <w:b/>
        </w:rPr>
        <w:t>E. 5.2</w:t>
      </w:r>
    </w:p>
    <w:p>
      <w:r>
        <w:t>Art. 34 Abs. 1 BV gewährleistet in allgemeiner Weise die politischen Rechte auf Ebene des Bundes, der Kantone und der Gemeinden ( BGE 138 I 189 E. 2.1 S. 190). Die Bestimmung schützt damit auch das Initiativrecht in kommunalen Angelegenheiten.</w:t>
      </w:r>
    </w:p>
    <w:p>
      <w:r>
        <w:rPr>
          <w:b/>
        </w:rPr>
        <w:t>E. 5.3</w:t>
      </w:r>
    </w:p>
    <w:p>
      <w:r>
        <w:t>Im vorliegenden Fall geht es nicht um die Gültigkeit der Initiative selbst oder der Abstimmung darüber. Entsprechende Verfahren haben bereits stattgefunden und endeten teilweise vor dem Verwaltungsgericht des Kantons Schwyz. Mit Urteil vom 26. Januar 2006 (VGE 895/05, in: EGV-SZ 2006 B 7.1 S. 144) bestätigte das Verwaltungsgericht den Entscheid des Gemeinderates, mit dem dieser die Initiative auf Umzonung des Steinfabrikareals für zulässig erklärt hatte. Das BGE 139 I 2 S. 8 Verwaltungsgericht führte dazu aus, die Prüfung der inhaltlichen Gültigkeit einer Initiative auf Vereinbarkeit mit höherrangigem Recht durch den Gemeinderat wirke nur als grobmaschiges Netz. Nur eindeutig unzulässige Initiativen seien von der Volksabstimmung ausgenommen. Im Übrigen habe der Urheber eines Initiativbegehrens auch bei Zulassung der Initiative aufgrund der Beratungspflicht und des Antragsrechts jedes Stimmberechtigten (gemäss §§ 12 und 26 des schwyzerischen Gesetzes vom 29. Oktober 1969 über die Organisation der Gemeinden und Bezirke [GOG; SRSZ 152.100]) auf Gemeindeebene keine Gewähr und keinen Anspruch darauf, dass genau darüber Beschluss gefasst werde. Schliesslich werde die Frage einer allfälligen Beeinträchtigung der Eigentumsgarantie im planungs- und baurechtlichen Einsprache- und Beschwerdeverfahren auf entsprechende Rüge hin zu prüfen sein. Diese Streitfragen werden allerdings erst nach ergangenem Beschluss der Gemeindeversammlung und der im Anschluss daran erforderlichen Genehmigung durch den Regierungsrat des Kantons Schwyz (vgl. § 28 des kantonalen Planungs- und Baugesetzes vom 14. Mai 1987 [PBG/SZ; SRSZ 400.100]) der gerichtlichen Kontrolle zugänglich sein (vgl. die Urteile des Bundesgerichts 1C_403/2011 und 1C_383/2011 vom 28. September 2011; BGE 135 II 22 ).</w:t>
      </w:r>
    </w:p>
    <w:p>
      <w:r>
        <w:rPr>
          <w:b/>
        </w:rPr>
        <w:t>E. 5.4</w:t>
      </w:r>
    </w:p>
    <w:p>
      <w:r>
        <w:t>Strittig ist hier hingegen die Umsetzung der Planungsinitiative. Nach der in einem früheren Urteil des Verwaltungsgerichts (VGE III 2009 101 vom 23. September 2009, in: EGV-SZ 2009 B. 7.1 S. 70) dargestellten und im angefochtenen Entscheid ergänzend erwähnten Rechtsprechung des Verwaltungsgerichts werden Planungsinitiativen im Kanton Schwyz im Nutzungsplanerlassverfahren gemäss § § 25 ff. PBG /SZ umgesetzt; den Initianten und Stimmberechtigten kommt dabei zwar die Einsprachebefugnis (nach § 25 Abs. 3 PBG /SZ) zu, in den nachfolgenden Rechtsmittelverfahren fehlt ihnen aber die Beschwerdelegitimation; mögliche Einwendungen gegen die Umsetzung der Planungsinitiative können sie daher erst nach Abschluss der kantonalen Beschwerdeverfahren im Zeitpunkt der Vorlage des Entwurfs an die Gemeindeversammlung im Rahmen der Stimmrechtsbeschwerde erheben, so wie es hier erfolgt ist.</w:t>
      </w:r>
    </w:p>
    <w:p>
      <w:r>
        <w:rPr>
          <w:b/>
        </w:rPr>
        <w:t>E. 5.5</w:t>
      </w:r>
    </w:p>
    <w:p>
      <w:r>
        <w:t>Zu beachten ist sodann, dass nach der schwyzerischen Gemeindeordnung der Beschluss der Gemeindeversammlung noch der Urnenabstimmung unterliegen kann (vgl. §§ 10 ff. GOG). Im Unterschied zu anderen Geschäften (vgl. etwa das Urteil des Bundesgerichts 1C_373/2010 vom 21. Februar 2011 E. 5.1 und 5.2, in: ZBl 112/2011 BGE 139 I 2 S. 9 S. 382) sind Abänderungsanträge zu Zonen- und Erschliessungsplänen sowie den zugehörigen Vorschriften an der Gemeindeversammlung grundsätzlich aber unzulässig ( § 27 Abs. 2 PBG /SZ). Auch wenn das Verhältnis von § 27 Abs. 2 PBG /SZ zu §§ 12 und 26 GOG ungeklärt erscheint (das Verwaltungsgericht des Kantons Schwyz hatte in seinem Urteil VGE 895/05 vom 26. Januar 2006 noch auf diese letzten Bestimmungen verwiesen), ist doch davon auszugehen, dass die vom Gemeinderat beschlossene Umzonung an der Gemeindeversammlung in der Regel nicht mehr inhaltlich verändert werden kann.</w:t>
      </w:r>
    </w:p>
    <w:p>
      <w:r>
        <w:rPr>
          <w:b/>
        </w:rPr>
        <w:t>E. 5.6</w:t>
      </w:r>
    </w:p>
    <w:p>
      <w:r>
        <w:t>Die Umsetzung einer Planungsinitiative ist vergleichbar mit der Umsetzung einer als allgemeine Anregung angenommenen unformulierten Verfassungs- oder Gesetzesinitiative. Die Initianten können unter dem Gesichtspunkt der Gewährleistung der politischen Rechte geltend machen, der dem Volk zur Abstimmung vorgelegte Umsetzungsentscheid entspreche nicht dem Inhalt der Initiative, verwässere diesen oder gebe ihn kaum mehr wieder (vgl. BGE 115 Ia 148 E. 1a und b S. 152 f.). 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(vgl. BGE 115 Ia 148 E. 4 S. 154 f.; Urteil des Bundesgerichts 1P.150/2003 vom 5. Dezember 2003, in: RtiD 2004 I S. 159 sowie in: SJ 2004 I S. 227). Dabei darf der Gegenstand des Begehrens nicht verlassen werden, was hier keine Probleme stellt, und ist der Sinn der Initiative einzuhalten, was im vorliegenden Fall strittig ist; innerhalb des entsprechenden Rahmens steht dem Umsetzungsorgan jedoch eine gewisse, wenn auch auf das mit der Initiative verfolgte Anliegen beschränkte Gestaltungskompetenz zu (vgl. ETIENNE GRISEL, Initiative et rérérendum populaires, 3. Aufl. 2004, Rz. 599 ff.; HANGARTNER/KLEY, Die demokratischen Rechte in Bund und Kantonen der Schweizerischen Eidgenossenschaft, 2000, Rz. 2054; BÉNÉDICTE TORNAY, La démocratie directe saisie par le juge, 2008, S. 128 f.; PIERRE TSCHANNEN, Stimmrecht und politische Verständigung, 1995, Rz. 142). Bei der Umsetzung der Initiative ist insbesondere auf grösstmögliche Vereinbarkeit des Umsetzungsaktes mit dem höherrangigen Recht zu achten, ohne dass allerdings die Einhaltung desselben in jedem Einzelfall bereits zu prüfen ist. Bei einer unformulierten BGE 139 I 2 S. 10 Verfassungs- oder Gesetzesinitiative läuft dies auf eine voraussichtlich mit höherrangigem Recht konforme Vorlage von Bestimmungen der entsprechenden Normstufe mit dem in der allgemeinen Anregung angestrebten Inhalt hinaus; bei einer Planungsinitiative ist eine Vorlage eines Planerlasses oder von Plananpassungen auszuarbeiten, die dem mit der Initiative angestrebten planerischen Ergebnis entsprechen und grundsätzlich ebenfalls mit dem höherrangigen Recht vereinbar scheinen.</w:t>
      </w:r>
    </w:p>
    <w:p>
      <w:r>
        <w:rPr>
          <w:b/>
        </w:rPr>
        <w:t>E. 5.7</w:t>
      </w:r>
    </w:p>
    <w:p>
      <w:r>
        <w:t>Die an der Volksabstimmung vom 26. November 2006 angenommene Initiative "Umzonung Steinfabrik-Areal" bezweckte die Umzonung des bis anhin zur Hafenzone gehörenden Gebiets des ehemaligen Steinfabrikareals in Pfäffikon in eine neu zu schaffende "Zone für öffentliche Parkanlagen".</w:t>
      </w:r>
    </w:p>
    <w:p>
      <w:r>
        <w:rPr>
          <w:b/>
        </w:rPr>
        <w:t>E. 5.7.1</w:t>
      </w:r>
    </w:p>
    <w:p>
      <w:r>
        <w:t>Das Steinfabrikareal ist teilweise mit verschiedenen Industrie- und Gewerbebauten überbaut und umfasst insgesamt eine Fläche von rund 74'000 m 2 . Ein ungefähr 20 m breiter Streifen entlang des Seeufers sowie ein zusätzliches Gebiet im westlichen Bereich von mehreren tausend Quadratmetern wurde 1994 in eine Zone für öffentliche Bauten und Anlagen umgezont. Der Rest des Areals gehört zur Hafenzone, in der im Wesentlichen eine Mischung von Wohn- und Gewerbebauten (unter Einschluss von Gaststätten, Läden und öffentlichen Bauten) zugelassen ist. Davon stehen rund 63'000 m 2 im Grundeigentum der Korporation Pfäffikon. Eine erste Vorlage des Gemeinderates von Freienbach zur Umsetzung der Initiative sah vor, praktisch das gesamte Gebiet im Eigentum der Korporation Pfäffikon, nämlich eine Fläche von rund 60'000 m 2 , der neu zu schaffenden Zone für öffentliche Parkanlagen zuzuweisen. Nach entsprechenden Einsprachen der Korporation Pfäffikon und von Ulrich Feusi-Thür, der über ein Kaufsrecht für ein Baurecht auf einer der fraglichen Liegenschaften verfügt, beschloss der Gemeinderat den hier strittigen abgeänderten Planentwurf. Danach soll eine Fläche von 18'758 m 2 in die neue Zone für öffentliche Parkanlagen aufgenommen und eine solche von 40'383 m 2 in der Hafenzone belassen werden. Im Ergebnis bedeutet dies, dass lediglich etwa ein Drittel der Fläche statt, wie vom Wortlaut der Initiative verlangt, das ganze Steinfabrikareal umgezont wird. Es fragt sich, ob dieses Ergebnis dem Anliegen der Initiative noch entspricht.</w:t>
      </w:r>
    </w:p>
    <w:p>
      <w:r>
        <w:rPr>
          <w:b/>
        </w:rPr>
        <w:t>E. 5.7.2</w:t>
      </w:r>
    </w:p>
    <w:p>
      <w:r>
        <w:t>Dem Gemeinderat kann die Bereitschaft im Sinne der Initiative nicht abgesprochen werden, in einer ersten Phase eine Umzonung des BGE 139 I 2 S. 11 praktisch gesamten Steinfabrikareals beschlossen zu haben. Erst die von den Hauptbetroffenen eingereichten Einsprachen führten ihn zu einer Abänderung seines Planentwurfs. Seit dem Urteil VGE 895/05 vom 26. Januar 2006 des Verwaltungsgerichts des Kantons Schwyz musste sodann auch den Initianten bekannt und klar sein, dass die Initiative sich unter Umständen nicht ohne Einschränkungen würde umsetzen lassen. Damals hatte das Verwaltungsgericht die Prüfung der Zulässigkeit der Initiative nämlich auf eine grobmaschige Kontrolle beschränkt und ausdrücklich darauf verwiesen, es bestünden gerade bei Initiativen, die das Planungsrecht beträfen, bei deren Umsetzung zahlreiche Kontrollmöglichkeiten und -pflichten. Nur bei offensichtlicher Rechtswidrigkeit seien solche Initiativen daher als ungültig zu erklären. Insbesondere sei die Frage einer allfälligen Beeinträchtigung der Eigentumsgarantie erst im planungs- und baurechtlichen Einsprache- und Beschwerdeverfahren zu prüfen. Die fragliche Initiative stand demnach schon von Anfang an unter dem Vorbehalt, dass bei ihrer Umsetzung inhaltliche Abstriche wegen des betroffenen Grundeigentums nicht ausgeschlossen oder im Gegenteil sogar wahrscheinlich werden könnten.</w:t>
      </w:r>
    </w:p>
    <w:p>
      <w:r>
        <w:rPr>
          <w:b/>
        </w:rPr>
        <w:t>E. 5.7.3</w:t>
      </w:r>
    </w:p>
    <w:p>
      <w:r>
        <w:t>Die Beschränkung des umzuzonenden Gebiets auf rund einen Drittel wird mit Blick auf die Eigentumsgarantie gemäss Art. 26 BV der Grundeigentümerin und des Baurechtsnehmers einerseits mit dem Verhältnismässigkeitsgrundsatz und andererseits mit den Kostenfolgen für die Gemeinde aufgrund der wahrscheinlichen Entschädigungspflicht infolge Enteignung begründet. Nach Art. 36 Abs. 2 und 3 BV müssen Einschränkungen von Grundrechten und damit auch der Eigentumsgarantie durch ein öffentliches Interesse gerechtfertigt und verhältnismässig sein. Gemäss Art. 26 Abs. 2 BV sind Eigentumsbeschränkungen, die einer Enteignung gleichkommen, voll zu entschädigen. Zweifellos besteht ein namhaftes öffentliches Interesse an der Schaffung einer Parkanlage am See. Es erscheint aber fraglich, ohne dass dies hier bereits abschliessend zu beurteilen ist (vgl. E. 5.3), ob das öffentliche Interesse die Beschränkung des Grundeigentums auf dem gesamten Steinfabrikareal zu rechtfertigen vermag. Einerseits besteht schon ein Streifen mit öffentlichem Durchgang am Seeufer und andererseits verfügt die Gemeinde Freienbach bereits über mehrere andere öffentliche Anlagen, die den Freizeitaktivitäten, unter anderem auch entlang des Sees, der Bevölkerung dienen. Entgegen der Auffassung der Beschwerdeführerin kann es nicht die Aufgabe der Gemeinde sein, für die ganze Region eine Parkanlage zur Verfügung zu BGE 139 I 2 S. 12 stellen. Es kann auch nicht aus dem Ergebnis der kommunalen Abstimmung über die Initiative abgeleitet werden, das Stimmvolk der Gemeinde habe eine solche regionale Freizeitanlage schaffen wollen. Das gesamte Areal umzuzonen, ist daher mit dem erheblichen Risiko verbunden, dass der Umzonungsakt als unverhältnismässig, weil nicht erforderlich, und damit als Verstoss gegen die Eigentumsgarantie beurteilt wird. Die Wahrung der Eigentumsgarantie spricht somit für eine Beschränkung des umzuzonenden Gebietes. Dies wäre nur zu umgehen, wenn die betroffene Grundeigentümerin und der Baurechtsnehmer einem freiwilligen Verkauf ihrer Rechte zustimmen würden, wozu sie aber offenbar nicht bereit sind.</w:t>
      </w:r>
    </w:p>
    <w:p>
      <w:r>
        <w:rPr>
          <w:b/>
        </w:rPr>
        <w:t>E. 5.7.4</w:t>
      </w:r>
    </w:p>
    <w:p>
      <w:r>
        <w:t>Auch wenn sodann im heutigen Zeitpunkt die Frage der allfälligen Kostenfolgen weder eindeutig ist noch bereits endgültig beantwortet werden kann, so besteht doch eine gewisse Wahrscheinlichkeit, dass die Gemeinde zur Schaffung der geplanten Parkzone entweder die betroffenen Grundstücke erwerben muss oder andernfalls eine Entschädigung zu leisten hat. Es wäre jedenfalls leichtfertig, nicht mit solchen Folgekosten zu rechnen. Nicht ohne Grund führt der Gemeinderat daher an, die Umzonung des gesamten Steinfabrikareals, wenn sie uneingeschränkt überhaupt zulässig wäre, würde hohe Erwerbs- bzw. Entschädigungs- sowie Unterhaltskosten auslösen, die sogar die Realisierung des Projekts gefährden könnten. Unter diesen Umständen entspricht eine räumlich begrenzte Umzonung, welche die Schaffung der gewünschten Parkanlage ermöglicht, eher dem Volkswillen als eine gesamte Umzonung, welche der Schaffung der Parkanlage selbst die finanzielle Grundlage entzieht.</w:t>
      </w:r>
    </w:p>
    <w:p>
      <w:r>
        <w:rPr>
          <w:b/>
        </w:rPr>
        <w:t>E. 5.7.5</w:t>
      </w:r>
    </w:p>
    <w:p>
      <w:r>
        <w:t>Rechtfertigt sich demnach eine gewisse Reduktion der umzuzonenden Fläche, so ist damit über das Ausmass dieser Beschränkung noch nichts ausgesagt. Immerhin erweist sich die fragliche Reduktion auf einen Drittel des Gebiets als erheblich, und es liesse sich fragen, ob eine solche um beispielsweise die Hälfte nicht auch genügen würde. Es liegt jedoch auf der Hand, dass den Gemeindebehörden insoweit gerade mit Blick auf die Gewährung der politischen Rechte ein gewisser Ermessensspielraum zukommen muss. Aus dem Initiativ- und Stimmrecht lässt sich nicht eine genaue Prozentgrösse ableiten, bei welcher der Volkswille bei der Planungsinitiative noch gerade eingehalten wäre. Vielmehr muss es um Grössenordnungen gehen. Die räumliche Beschränkung auf einen Drittel mag in diesem Sinne eher minimalistisch erscheinen und sich am unteren Rand BGE 139 I 2 S. 13 dessen bewegen, was mit dem Ansinnen der Initiative vereinbar ist. Geradezu unzulässig ist die Vorlage aber noch nicht, wenn berücksichtigt wird, dass die geplante Umzonung erheblich in die Eigentumsrechte der weiteren Verfahrensbeteiligten eingreift und bedeutende Kostenfolgen für die Gemeinde auslösen könnte.</w:t>
      </w:r>
    </w:p>
    <w:p>
      <w:r>
        <w:rPr>
          <w:b/>
        </w:rPr>
        <w:t>E. 5.7.6</w:t>
      </w:r>
    </w:p>
    <w:p>
      <w:r>
        <w:t>Zwar kann an der Gemeindeversammlung selbst kein inhaltlicher Abänderungsantrag gestellt werden (vgl. E. 5.5). Wenn der Gemeinderat in seiner Botschaft am Ende aber ausführt, bei einer Ablehnung seiner Vorlage bleibe der aktuelle rechtskräftige Zonenplan aus dem Jahre 1994 unverändert in Kraft, so trifft dies lediglich formell uneingeschränkt zu. Die Umsetzung der Planungsinitiative wäre noch nicht zwingend definitiv gescheitert, denn die Ablehnung liesse sich auch so verstehen, dass der Vorschlag des Gemeinderates zu wenig weit ginge und dem Volkswillen nicht gerecht würde. Die zuständigen Gemeindebehörden dürften somit nicht einfach davon ausgehen, der ablehnende Entscheid sei als endgültiges Rückkommen auf die Planungsinitiative und als Verzicht auf deren Anliegen zu verstehen. Eine solche Folgerung müsste konkret und nachvollziehbar begründet werden können. Andernfalls wäre eine neue Vorlage auszuarbeiten, die der Planungsinitiative nach der zu ermittelnden Auffassung des Stimmvolkes besser entsprechen würde.</w:t>
      </w:r>
    </w:p>
    <w:p>
      <w:r>
        <w:rPr>
          <w:b/>
        </w:rPr>
        <w:t>E. 5.8</w:t>
      </w:r>
    </w:p>
    <w:p>
      <w:r>
        <w:t>Unter Berücksichtigung all dieser Umstände widerspricht die im angefochtenen Entscheid geschützte Vorlage nicht in massgeblicher Weise dem mit der Initiative angestrebten planerischen Ergebnis, weshalb sie nicht den Volkswillen missachtet, soweit sich das nach dem gegenwärtigen Stand beurteilen lässt.</w:t>
      </w:r>
    </w:p>
    <w:p>
      <w:r>
        <w:rPr>
          <w:b/>
        </w:rPr>
        <w:t>E. 6.1</w:t>
      </w:r>
    </w:p>
    <w:p>
      <w:r>
        <w:t>Zu prüfen ist weiter, ob die Erläuterungen des Gemeinderates gegen den Grundsatz der freien Willensbildung verstossen.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BGE 139 I 2 S. 14 Auseinandersetzung ( BGE 135 I 292 E. 2 S. 293 mit zahlreichen Hinweisen).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138 I 61 E. 6.2 mit zahlreichen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138 I 61 E. 6.2 mit zahlreichen Hinweisen; vgl. sodann etwa MICHEL BESSON, Behördliche Informationen vor Volksabstimmungen, 2003, S. 179 ff., insb. 241 ff.; GRISEL, a.a.O., Rz. 261 ff.; HANGARTNER/KLEY, a.a.O., Rz. 2580 ff.; TORNAY, a.a.O., S. 230 ff.). Amtliche Erläuterungen im Vorfeld von Volksabstimmungen sind sofort und vor dem Urnengang anzufechten ( BGE 121 I 1 E. 3b S. 5; Urteil des Bundesgerichts 1C_62/2012 vom 18. April 2012 E. 3).</w:t>
      </w:r>
    </w:p>
    <w:p>
      <w:r>
        <w:rPr>
          <w:b/>
        </w:rPr>
        <w:t>E. 6.3</w:t>
      </w:r>
    </w:p>
    <w:p>
      <w:r>
        <w:t>Im vorliegenden Fall geht es zwar nicht um die Abstimmungserläuterungen für eine Urnenabstimmung, sondern um diejenigen für eine Gemeindeversammlung. Auch diese Unterlagen unterstehen jedoch der Garantie der freien und unverfälschten Willensbildung und haben das Gebot der Sachlichkeit zu wahren. BGE 139 I 2 S. 15</w:t>
      </w:r>
    </w:p>
    <w:p>
      <w:r>
        <w:rPr>
          <w:b/>
        </w:rPr>
        <w:t>E. 6.4</w:t>
      </w:r>
    </w:p>
    <w:p>
      <w:r>
        <w:t>Die Beschwerdeführerin kritisiert die Abstimmungsunterlagen des Gemeinderates in verschiedenster Hinsicht und sehr detailliert. Im einen Punkt (unvollständige Information über die Änderung des Anhangs B des Nutzungskonzepts Areal Steinfabrik durch Wegfall der Bestimmungen über den kostenbegünstigten Wohnungsbau) hat der Gemeinderat ein Manko seiner Erläuterungen anerkannt, weshalb er die Vorlage von der Gemeindeversammlung vom 9. Dezember 2011 auch wieder zurückzog. Der Gemeinderat hat in Aussicht gestellt, diesen Informationsmangel zu beheben. Wie dies geschehen wird, ist zurzeit unbekannt, weshalb darin heute keine unzulängliche oder irreführende Einflussnahme auf die Willensbildung des Stimmvolkes erkannt werden kann. Im Übrigen erübrigt es sich, auf alle von der Beschwerdeführerin - weitgehend appellatorisch (vgl. nicht publ. E. 2.3) - vorgetragenen Einzelheiten spezifisch einzugehen. Die Beschwerdeführerin vermag nämlich nicht darzutun, dass die Erläuterungen des Gemeinderates falsch oder irreführend oder auch nur unsachlich wären. Im Gegenteil ergibt die Lektüre der gemeinderätlichen Erwägungen eine sachbezogene Darstellung der Ausgangslage. Auch insofern stehen naturgemäss Grössenordnungen im Vordergrund, und es kann nicht darauf ankommen, ob nun jede einzelne Zahlenangabe im Detail zutrifft oder nicht, solange die vom Gemeinderat angegebenen Werte als Ganzes vertretbar erscheinen, was durchaus der Fall ist. Wie bereits erwähnt, wäre es sodann leichtfertig und unseriös, auf mögliche Kostenfolgen nicht einzugehen, auch wenn die Beschwerdeführerin selbst Entschädigungsfolgen offenbar als unwahrscheinlich oder sogar ausgeschlossen erachtet. Auch dass zusätzliche Infrastrukturkosten anfallen könnten, namentlich um den Zugangsverkehr zu den zu schaffenden Parkanlagen aufzufangen, erscheint nicht von vornherein als falsch oder irreführend. Dass die Beschwerdeführerin selbst andere Informationen gewünscht hätte, führt nicht zur Rechtswidrigkeit der gemeinderätlichen Erläuterungen, zumal es ihr freisteht, ihren Standpunkt in der Gemeindeversammlung vorzutragen. Darauf, dass die Schlussbemerkung des Gemeinderates, wonach bei einer Ablehnung der Vorlage der aktuelle rechtskräftige Zonenplan aus dem Jahre 1994 unverändert in Kraft bleibe, nicht vorbehaltlos und zwingend als endgültiges Scheitern der Planungsinitiative verstanden werden darf, wurde bereits hingewiesen.</w:t>
      </w:r>
    </w:p>
    <w:p>
      <w:r>
        <w:rPr>
          <w:b/>
        </w:rPr>
        <w:t>E. 6.5</w:t>
      </w:r>
    </w:p>
    <w:p>
      <w:r>
        <w:t>Insgesamt erweisen sich die gemeinderätlichen Erläuterungen in der Botschaft zur "Beschlussfassung über die Teilzonenplanung Steinfabrik-Areal" für die Gemeindeversammlung vom 9. Dezember 2011, BGE 139 I 2 S. 16 soweit sie hier zu beurteilen sind, nicht als irreführend oder unsachlich. Sie beeinträchtigen die Stimmberechtigten in ihrer Willensbildung nicht und verletzen mithin auch die Garantie von Art. 34 Abs. 2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