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265</w:t>
      </w:r>
    </w:p>
    <w:p>
      <w:r>
        <w:t>Bundesgericht (BGE), 2013-01-01, DE</w:t>
      </w:r>
    </w:p>
    <w:p>
      <w:r>
        <w:rPr>
          <w:b/>
        </w:rPr>
        <w:t xml:space="preserve">Quelle: </w:t>
      </w:r>
      <w:r>
        <w:t>https://mcp.opencaselaw.ch/entscheid/bge_BGE_139_IV_265</w:t>
      </w:r>
    </w:p>
    <w:p>
      <w:r>
        <w:t>FR: ATF 139 IV 265</w:t>
      </w:r>
    </w:p>
    <w:p>
      <w:r>
        <w:t>IT: DTF 139 IV 265</w:t>
      </w:r>
    </w:p>
    <w:p>
      <w:pPr>
        <w:pStyle w:val="Heading2"/>
      </w:pPr>
      <w:r>
        <w:t>Regeste</w:t>
      </w:r>
    </w:p>
    <w:p>
      <w:r>
        <w:t>Regeste Art. 149 Abs. 1 und 2 lit. a sowie Art. 150 Abs. 1 StPO, Art. 98 BGG; Zusicherung der Anonymität im Strafverfahren. Frage offengelassen, ob die Zusicherung der Anonymität eine vorsorgliche Massnahme darstellt (E. 2.5). Die Zusicherung der Anonymität setzt ernsthafte Anzeichen einer konkreten Gefährdung des Betroffenen voraus. Solche hat die Vorinstanz im zu beurteilenden Fall ohne Bundesrechtsverletzung verneint (E. 4).</w:t>
      </w:r>
    </w:p>
    <w:p>
      <w:r>
        <w:t>Regeste Art. 149 al. 1 et 2 let. a ainsi qu'art. 150 al. 1 CPP, art. 98 LTF; garantie de l'anonymat en procédure pénale. La question de savoir si la garantie de l'anonymat représente une mesure provisionnelle est laissée indécise (consid. 2.5). La garantie de l'anonymat présuppose qu'il existe des indices sérieux d'une mise en danger concrète de la personne concernée. L'autorité précédente n'a pas admis l'existence de tels indices dans le cas d'espèce, sans violer le droit fédéral (consid. 4).</w:t>
      </w:r>
    </w:p>
    <w:p>
      <w:r>
        <w:t>Regesto Art. 149 cpv. 1 e 2 lett. a come pure art. 150 cpv. 1 CPP, art. 98 LTF; garanzia dell'anonimato nel procedimento penale. La questione di sapere se la garanzia dell'anonimato costituisca una misura provvisionale è lasciata aperta (consid. 2.5). La garanzia dell'anonimato presuppone la sussistenza di seri indizi di un pericolo concreto per l'interessato. Nel caso di specie, l'istanza precedente poteva negarne l'esistenza senza violare il diritto federale (consid. 4).</w:t>
      </w:r>
    </w:p>
    <w:p>
      <w:pPr>
        <w:pStyle w:val="Heading2"/>
      </w:pPr>
      <w:r>
        <w:t>Erwägungen</w:t>
      </w:r>
    </w:p>
    <w:p>
      <w:r>
        <w:rPr>
          <w:b/>
        </w:rPr>
        <w:t>E. 2.5</w:t>
      </w:r>
    </w:p>
    <w:p>
      <w:r>
        <w:t>Der Staatsanwalt bringt vor, auf die Beschwerden könne nicht eingetreten werden, weil es um eine vorsorgliche Massnahme gehe. Die Beschwerdeführer könnten somit nur die Verletzung verfassungsmässiger Rechte rügen, was sie nicht hinreichend substanziiert täten. Gemäss Art. 98 BGG kann mit der Beschwerde gegen Entscheide über vorsorgliche Massnahmen nur die Verletzung verfassungsmässiger Rechte gerügt werden. Insoweit gelten die erhöhten BGE 139 IV 265 S. 267 Anforderungen an die Begründung der Beschwerde nach Art. 106 Abs. 2 BGG ( BGE 135 III 232 E. 1.2 S. 234 mit Hinweisen). Im Schrifttum wird die Auffassung vertreten, bei der Zusicherung der Anonymität gemäss Art. 149 Abs. 1 und 2 lit. a sowie Art. 150 StPO handle es sich um eine vorsorgliche Massnahme nach Art. 98 BGG (NIKLAUS SCHMID, Schweizerische Strafprozessordnung, Praxiskommentar [nachfolgend: Praxiskommentar], 2. Aufl. 2013, N. 4 und 15 zu Art. 150 StPO ; STEFAN WEHRENBERG, in: Basler Kommentar, Schweizerische Strafprozessordnung, 2011, N. 11 zu Art. 150 StPO ). Wird die Anonymität zugesichert, gilt das nicht nur bis zum Abschluss des Strafverfahrens, sondern darüber hinaus. Dies sieht Art. 151 Abs. 1 lit. a StPO beim verdeckten Ermittler ausdrücklich vor, muss aber auch sonst gelten, da mit dem Abschluss des Strafverfahrens die für den Betroffenen bestehende Gefahr für Leib und Leben nicht entfällt (SCHMID, Praxiskommentar, a.a.O., N. 11 zu Art. 150 StPO ; WEHRENBERG, a.a.O., N. 19 zu Art. 150 StPO ). Ist die Zusicherung der Anonymität somit wesensgemäss nicht nur vorläufiger Natur, sondern auf Dauer angelegt, ist zweifelhaft, ob man sie den vorsorglichen Massnahmen zuordnen kann. Wie es sich damit verhält, braucht hier nicht abschliessend beurteilt zu werden, da die Beschwerden auch dann unbehelflich wären, wenn keine Beschränkung der Beschwerdegründe nach Art. 98 BGG gegeben wäre. (...)</w:t>
      </w:r>
    </w:p>
    <w:p>
      <w:r>
        <w:rPr>
          <w:b/>
        </w:rPr>
        <w:t>E. 4.1</w:t>
      </w:r>
    </w:p>
    <w:p>
      <w:r>
        <w:t>Die Beschwerdeführer machen geltend, sie wären bei Offenlegung ihrer Personalien einer erheblichen Gefahr für Leib und Leben oder einem anderen schweren Nachteil ausgesetzt. Die Anonymität hätte ihnen daher zugesichert werden müssen.</w:t>
      </w:r>
    </w:p>
    <w:p>
      <w:r>
        <w:rPr>
          <w:b/>
        </w:rPr>
        <w:t>E. 4.2</w:t>
      </w:r>
    </w:p>
    <w:p>
      <w:r>
        <w:t>Besteht Grund zur Annahme, unter anderem eine beschuldigte Person könnte durch die Mitwirkung im Verfahren sich oder eine Person, die mit ihr in einem Verhältnis nach Art. 168 Abs. 1-3 steht, einer erheblichen Gefahr für Leib und Leben oder einem anderen schweren Nachteil aussetzen, so trifft gemäss Art. 149 Abs. 1 StPO die Verfahrensleitung auf Gesuch hin oder von Amtes wegen die geeigneten Schutzmassnahmen. Nach Art. 149 Abs. 2 StPO kann die Verfahrensleitung dazu die Verfahrensrechte der Parteien angemessen beschränken, namentlich BGE 139 IV 265 S. 268 indem sie die Anonymität zusichert (lit. a). Dies wiederholt Art. 150 Abs. 1 StPO . Wird jemandem die Anonymität zugesichert, werden seine Personalien im Verfahren nicht bekannt gegeben. Seine wahre Identität erscheint nicht in den Verfahrensakten, sondern typischerweise nur eine Decknummer oder ein Deckname ( BGE 138 IV 178 E. 3.1 S. 182 mit Hinweis). Sinn und Zweck der Zusicherung der Anonymität ist nach der Rechtsprechung die Geheimhaltung der Identität des Betroffenen gegenüber Personen, die ihm Schaden zufügen könnten. Gegenüber den Behörden besteht kein Recht auf Anonymität ( BGE 138 IV 178 E. 3.2.4 S. 185 mit Hinweisen). Eine erhebliche Gefahr für Leib und Leben nach Art. 149 Abs. 1 StPO ist etwa anzunehmen, wenn Morddrohungen gegen den Verfahrensbeteiligten selbst oder einen Angehörigen nach Art. 168 Abs. 1-3 StPO ausgesprochen wurden, bereits entsprechende Angriffe erfolgten oder solche angesichts des Milieus, in dem sich die betreffende Person bewegt, ernsthaft zu befürchten sind. Ein anderer schwerer Nachteil kann namentlich drohen, wenn jemand eine erhebliche Vermögensschädigung - z.B. die Sprengung seines Ferienhauses - gewärtigen muss. Erforderlich sind ernst zu nehmende Anzeichen einer konkreten Gefährdung (vgl. NIKLAUS SCHMID, Handbuch des Schweizerischen Strafprozessrechts, 2. Aufl. 2013, S. 341 N. 836; derselbe , Praxiskommentar, a.a.O., N. 2 f. zu Art. 149 StPO ; WEHRENBERG, a.a.O., N. 12 zu Art. 149 StPO ; WOLFGANG WOHLERS, in: Kommentar zur Schweizerischen Strafprozessordnung, Donatsch und andere [Hrsg.], 2010, N. 7 ff. zu Art. 149 StPO ;BERTRAND PERRIN, in: Commentaire romand, Code de procédure pénale suisse, 2011, N. 7 ff. zu Art. 149 StPO ). Die Zusicherung der Anonymität stellt die einschneidendste Schutzmassnahme dar und kommt nur als "ultima ratio" in Betracht (SCHMID, Praxiskommentar, a.a.O., N. 6 zur Art. 149 StPO ; WOHLERS, a.a.O., N. 1 und 4 zu Art. 150 StPO ).</w:t>
      </w:r>
    </w:p>
    <w:p>
      <w:r>
        <w:rPr>
          <w:b/>
        </w:rPr>
        <w:t>E. 4.3</w:t>
      </w:r>
    </w:p>
    <w:p>
      <w:r>
        <w:t>Der heute 34-jährige Privatkläger ist im Strafregister nicht verzeichnet. Wie sich aus den Akten der Polizei ergibt, wurden im Jahr 1995 gegen ihn Ermittlungen wegen des Verdachts des Bargelddiebstahls geführt. 2009 wurde gegen ihn Anzeige wegen Fahrens in fahrunfähigem Zustand in einem leichten Fall erstattet. In den polizeilichen Akten vermerkt ist er zudem wegen Nichtabgabe des BGE 139 IV 265 S. 269 Fahrzeugausweises und der Kontrollschilder trotz amtlicher Aufforderung. Anzeichen für eine Gewalttätigkeit des Privatklägers ergeben sich daraus nicht. Nach den Angaben seiner Ehefrau hat der Privatkläger sie und die Tochter nie geschlagen. Auch den befragten Nachbarn und Arbeitskollegen war nichts über eine Gewalttätigkeit des Privatklägers bekannt. Dies lässt ebenfalls nicht auf seine Gefährlichkeit schliessen. Nach dem Leumundsbericht und den Aussagen der Ehefrau scheint der Privatkläger unter Alkoholeinfluss ein anderer Mensch zu werden und zu selbstzerstörerischem Verhalten zu neigen. Dies spricht eher für Eigen-, nicht für Fremdgefährdung. Was sich beim Vorfall vom 25. Mai 2009 in der Wohnung des Privatklägers genau abgespielt hat, ist umstritten und Gegenstand der laufenden Untersuchung. Soweit die Beschwerdeführer vorbringen, der Privatkläger habe sich mit erhobenem Messer auf den Beschwerdeführer 2 gestürzt, gehen sie von einem Sachverhalt aus, den die Vorinstanz nicht festgestellt hat. Darauf kann nicht eingetreten werden ( Art. 105 Abs. 1 BGG ). Dass die Vorinstanz den Sachverhalt gemäss Art. 97 Abs. 1 BGG offensichtlich unrichtig bzw. unvollständig festgestellt habe, machen sie nicht hinreichend substanziiert geltend (zu den qualifizierten Begründungsanforderungen insoweit BGE 133 II 249 E. 1.4.2 f. S. 254 f.). Klar ist, dass am Abend des 25. Mai 2009 für den Privatkläger eine besondere Situation gegeben war, als Polizisten Zugang zu seiner Wohnung verlangten und er sich in dieser plötzlich mehreren Beamten der Sondereinheit in Kampfausrüstung gegenübersah. Selbst wenn er damals das Messer nicht nur gegen sich selber, sondern - was er bestreitet - auch gegen Polizisten gerichtet haben sollte, kann daraus nicht geschlossen werden, dass er heute - mehrere Jahre später und ausserhalb der erwähnten besonderen Situation - für die Beschwerdeführer eine ernstliche und konkrete Gefahr darstellt. Dagegen spricht, dass er - soweit aktenkundig - vor dem 25. Mai 2009 gegen andere nie Gewalt angewandt oder auch nur angedroht hat. Dass er dies danach getan habe, stellt die Vorinstanz nicht fest. Insbesondere legt sie nicht dar, er habe gedroht, er werde sich an den Beschwerdeführern rächen. Dass er noch am Abend des 25. Mai 2009 und in der Einvernahme wenige Tage später danach fragte, wer auf ihn geschossen hat, ist nachvollziehbar. Dies stellt noch kein hinreichendes Indiz für Rachepläne dar. BGE 139 IV 265 S. 270 Würdigt man dies gesamthaft, hält es vor Bundesrecht stand, wenn die Vorinstanz ernsthafte Anzeichen für eine konkrete Gefährdung der Beschwerdeführer verneint und die Zusicherung der Anonymität daher abgelehnt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