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241</w:t>
      </w:r>
    </w:p>
    <w:p>
      <w:r>
        <w:t>Bundesgericht (BGE), 2013-07-08, FR</w:t>
      </w:r>
    </w:p>
    <w:p>
      <w:r>
        <w:rPr>
          <w:b/>
        </w:rPr>
        <w:t xml:space="preserve">Quelle: </w:t>
      </w:r>
      <w:r>
        <w:t>https://mcp.opencaselaw.ch/entscheid/bge_BGE_139_IV_241</w:t>
      </w:r>
    </w:p>
    <w:p>
      <w:r>
        <w:t>FR: ATF 139 IV 241</w:t>
      </w:r>
    </w:p>
    <w:p>
      <w:r>
        <w:t>IT: DTF 139 IV 241</w:t>
      </w:r>
    </w:p>
    <w:p>
      <w:pPr>
        <w:pStyle w:val="Heading2"/>
      </w:pPr>
      <w:r>
        <w:t>Regeste</w:t>
      </w:r>
    </w:p>
    <w:p>
      <w:r>
        <w:t>Regeste Art. 310 StPO; Art. 429 Abs. 1 lit. a StPO; Entschädigung bei Nichtanhandnahmeverfügung. Eine Entschädigung für die angemessene Ausübung der Verfahrensrechte im Sinne von Art. 429 Abs. 1 lit. a StPO kommt auch im Falle einer Nichtanhandnahmeverfügung in Betracht (E. 1).</w:t>
      </w:r>
    </w:p>
    <w:p>
      <w:r>
        <w:t>Regeste Art. 310 CPP; art. 429 al. 1 let. a CPP; indemnité en cas de non-entrée en matière. Une indemnité pour les dépenses occasionnées par l'exercice raisonnable des droits de procédure, au sens de l'art. 429 al. 1 let. a CPP, entre aussi en considération en cas de refus d'entrer en matière (consid. 1).</w:t>
      </w:r>
    </w:p>
    <w:p>
      <w:r>
        <w:t>Regesto Art. 310 CPP; art. 429 cpv. 1 lett. a CPP; indennità in caso di non luogo a procedere. Un'indennità per le spese sostenute ai fini di un adeguato esercizio dei diritti procedurali, ai sensi dell'art. 429 cpv. 1 lett. a CPP, entra in considerazione anche in caso di non luogo a procedere (consid. 1).</w:t>
      </w:r>
    </w:p>
    <w:p>
      <w:pPr>
        <w:pStyle w:val="Heading2"/>
      </w:pPr>
      <w:r>
        <w:t>Erwägungen</w:t>
      </w:r>
    </w:p>
    <w:p>
      <w:r>
        <w:rPr>
          <w:b/>
        </w:rPr>
        <w:t>E. 1</w:t>
      </w:r>
    </w:p>
    <w:p>
      <w:r>
        <w:t>Le recourant soutient que l' art. 429 al. 1 let. a CPP ne mentionne pas la possibilité d'allouer une indemnité en cas de refus d'entrer en matière mais uniquement en cas d'acquittement ou de classement et qu'il s'agirait d'un silence qualifié du législateur. L' 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 ATF 138 IV 205 consid. 1 p. 206). L' art. 429 CPP ne mentionne certes pas expressément l'ordonnance de non-entrée en matière ( art. 310 CPP ) comme cas de figure pouvant donner lieu à indemnité. On ne saurait cependant en déduire un silence qualifié du législateur (sur cette notion, cf. ATF 139 I 57 consid. 5.2 p. 60). En effet, l' art. 310 al. 2 CPP prévoit expressément que les dispositions sur le classement s'appliquent. Il s'ensuit que la même réglementation prévaut pour une non-entrée en matière et un classement. La doctrine est largement d'avis qu'une indemnité selon l' art. 429 al. 1 let. a CPP entre aussi en considération pour une non-entrée en matière (cf. JEANNERET/KUHN, Précis de procédure pénale, 2013, p. 122 n. 5062; MIZEL/RÉTORNAZ, in Commentaire romand, Code de procédure pénale suisse, 2011, n° 9 ad art. 429 CPP ; MOREILLON/PAREIN-REYMOND, CPP, Code de procédure pénale, 2013, n° 9 ad art. 429 CPP ; PIQUEREZ/MACALUSO, Procédure pénale suisse, 3 e éd. 2011, p. 728 n. 2281; NIKLAUS SCHMID, Schweizerische Strafprozessordnung [StPO], Praxiskommentar, 2009, n° 1 ad art. 429 CPP ). Rien ne justifie de s'écarter de cette approche. C'est ainsi en vain que le recourant conteste la possibilité d'allouer une indemnité en vertu de l' art. 429 al. 1 let. a CPP en cas de refus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