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209</w:t>
      </w:r>
    </w:p>
    <w:p>
      <w:r>
        <w:t>Bundesgericht (BGE), 2013-04-18, DE</w:t>
      </w:r>
    </w:p>
    <w:p>
      <w:r>
        <w:rPr>
          <w:b/>
        </w:rPr>
        <w:t xml:space="preserve">Quelle: </w:t>
      </w:r>
      <w:r>
        <w:t>https://mcp.opencaselaw.ch/entscheid/bge_BGE_139_IV_209</w:t>
      </w:r>
    </w:p>
    <w:p>
      <w:r>
        <w:t>FR: ATF 139 IV 209</w:t>
      </w:r>
    </w:p>
    <w:p>
      <w:r>
        <w:t>IT: DTF 139 IV 209</w:t>
      </w:r>
    </w:p>
    <w:p>
      <w:pPr>
        <w:pStyle w:val="Heading2"/>
      </w:pPr>
      <w:r>
        <w:t>Regeste</w:t>
      </w:r>
    </w:p>
    <w:p>
      <w:r>
        <w:t>Regeste Einziehung (Art. 70 Abs. 1 StGB) und staatliche Ersatzforderung (Art. 71 Abs. 1 StGB) im Falle eines Vergleichs. Ein Vergleich steht der Einziehung nicht entgegen. Einzuziehen ist der durch die strafbare Handlung erlangte Vermögenswert unter Abzug der geleisteten Rückzahlung. Ist der Vermögenswert nicht mehr vorhanden, muss auf eine staatliche Ersatzforderung erkannt werden (E. 5).</w:t>
      </w:r>
    </w:p>
    <w:p>
      <w:r>
        <w:t>Regeste Confiscation (art. 70 al. 1 CP) et créance compensatrice de l'Etat (art. 71 al. 1 CP) en cas de transaction. Une transaction ne s'oppose pas à la confiscation. Doit être confisquée la valeur patrimoniale qui est le résultat d'une infraction, dont à déduire le remboursement effectué. Lorsque la valeur patrimoniale n'est plus disponible, son remplacement par une créance compensatrice de l'Etat doit être ordonné (consid. 5).</w:t>
      </w:r>
    </w:p>
    <w:p>
      <w:r>
        <w:t>Regesto Confisca (art. 70 cpv. 1 CP) e risarcimento in favore dello Stato (art. 71 cpv. 1 CP) in caso di transazione. Una transazione non osta alla confisca. Soggiacciono alla confisca i valori patrimoniali ottenuti con il reato, deduzione fatta del rimborso effettuato. Ove i valori patrimoniali non siano più reperibili, dev'essere ordinato un risarcimento in favore dello Stato (consid. 5).</w:t>
      </w:r>
    </w:p>
    <w:p>
      <w:pPr>
        <w:pStyle w:val="Heading2"/>
      </w:pPr>
      <w:r>
        <w:t>Erwägungen</w:t>
      </w:r>
    </w:p>
    <w:p>
      <w:r>
        <w:rPr>
          <w:b/>
        </w:rPr>
        <w:t>E. 5.1</w:t>
      </w:r>
    </w:p>
    <w:p>
      <w:r>
        <w:t>Die Vorinstanz verpflichtete den Beschwerdeführer, dem Staat als Ersatz für nicht mehr vorhandenen, widerrechtlich erlangten Vermögensvorteil Fr. 391'200.- zu bezahlen. Der Beschwerdeführer macht geltend, eine staatliche Ersatzforderung falle auch bei Bestätigung seiner Verurteilung ausser Betracht, da er und die vier weiteren Konzernleitungsmitglieder sich in einem mit der A. am 1. Dezember 2005 vor dem Handelsgericht des Kantons Zürich abgeschlossenen Vergleich per Saldo aller Ansprüche zur Zahlung von insgesamt Fr. 350'000.- verpflichtet und diese Zahlung auch geleistet haben.</w:t>
      </w:r>
    </w:p>
    <w:p>
      <w:r>
        <w:rPr>
          <w:b/>
        </w:rPr>
        <w:t>E. 5.2.1</w:t>
      </w:r>
    </w:p>
    <w:p>
      <w:r>
        <w:t>Der Beschwerdeführer bringt wie im kantonalen Verfahren vor, dass bei Delikten gegen Individualinteressen der Einziehungsanspruch des Staates untergehe, wenn der rechtmässige Zustand gegenüber dem Geschädigten wiederhergestellt worden sei. Wenn der Geschädigte BGE 139 IV 209 S. 211 im Rahmen eines vor einem Gericht abgeschlossenen Vergleichs auf Schadenersatz beziehungsweise Restitution verzichte, falle der Einziehungsanspruch des Staates dahin. Der Vergleich sei ein im Zivilprozess anerkanntes Instrument der Streiterledigung. Mit dem Vergleich werde der rechtmässige Zustand wiederhergestellt. Unerheblich sei, in welchem Verhältnis die Vergleichssumme zum Schaden beziehungsweise zur Schadenersatzforderung stehe. Einem Vergleich hafte regelmässig an, dass er unter teilweiser Aufgabe einer ursprünglich eingenommenen Rechtsposition abgeschlossen werde. Vorbehalten sei allein der Fall, dass der Vergleich zur Umgehung der Einziehung abgeschlossen werde. Dies treffe vorliegend nicht zu.</w:t>
      </w:r>
    </w:p>
    <w:p>
      <w:r>
        <w:rPr>
          <w:b/>
        </w:rPr>
        <w:t>E. 5.2.2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Denn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 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feststanden.</w:t>
      </w:r>
    </w:p>
    <w:p>
      <w:r>
        <w:rPr>
          <w:b/>
        </w:rPr>
        <w:t>E. 5.3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Die Einziehung und die staatliche Ersatzforderung beruhen auf dem Gedanken, dass sich strafbares Verhalten nicht lohnen darf (BGE 129 BGE 139 IV 209 S. 212 IV 305 E. 4.2.5; BGE 117 IV 107 E. 2a; je mit Hinweisen). Die Einziehung des durch die Straftat erlangten Vermögenswerts kommt nur in Betracht, sofern er nicht dem Verletzten zur Wiederherstellung des rechtmässigen Zustandes ausgehändigt wird. Die Aushändigung an den Verletzten gemäss Art. 70 Abs. 1 in fine StGB hat somit Vorrang vor der Einziehung ( BGE 129 IV 322 E. 2.2.4 mit Hinweisen). 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in: Kommentar Einziehung, Organisiertes Verbrechen, Geldwäscherei, Bd. I, 2. Aufl. 2007, N. 67 Fn. 379 und N. 99 zu Art. 70-72 StGB ; wohl auch FLORIAN BAUMANN, in: Basler Kommentar, Strafrecht, Bd. I, 2. Aufl. 2007, N. 35 zu Art. 70/71 StGB). Dabei ist es unerheblich, in welchem Verhältnis die Vergleichssumme zum Schaden respektive zum Vermögensvorteil steht. Die Ansicht, dass ein Vergleich der Einziehung nicht entgegensteht, wird auch von der - wohl herrschenden - Lehre in Deutschland vertreten (SCHÖNKE/SCHRÖDER/ESER, Strafgesetzbuch, Kommentar, 28. Aufl. 2010, N. 23, 27 zu § 73 D-StGB; THOMAS FISCHER, Strafgesetzbuch und Nebengesetze, Kommentar, 60. Aufl. 2013, N. 23 zu § 73 D-StGB; vgl. auch Urteil des BGH vom 11. Mai 2006, in: Neue Zeitschrift für Strafrecht [NStZ] 2006 S. 621 ff.; Urteil des OLG München vom 19. April 2004, in: NStZ 2004 S. 443 f.). Die Ausschlussklausel im Sinne von Art. 70 Abs. 1 in fine StGB kann nicht als ein Privileg des Täters beziehungsweise des Einziehungsbetroffenen verstanden werden. Der Schutzzweck von Art. 70 Abs. 1 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BGE 139 IV 209 S. 213 entscheiden, was der Täter oder der Dritte durch die Tat erlangt hat und behalten darf. 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 a fortiori, dass ein Vergleich der Einziehung nicht entgegensteht. Durch den Vergleich wird zwar zwischen den Parteien der rechtmässige Zustand wiederhergestellt. Dies bedeutet aber nur, dass eine Aushändigung des durch die Straftat erlangten Vermögenswerts an den Verletzten im Sinne von Art. 70 Abs. 1 in fine StGB zur Wiederherstellung des rechtmässigen Zustandes nicht mehr zu erfolgen hat. Daraus folgt nicht, dass die Einziehung ausser Betracht fällt. Vielmehr muss der durch die Straftat erlangte Vermögenswert eingezogen werden, sofern und soweit er aus irgendwelchen Gründen nicht gemäss Art. 70 Abs. 1 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5.4</w:t>
      </w:r>
    </w:p>
    <w:p>
      <w:r>
        <w:t>Die Vorinstanz ordnet in Bestätigung des erstinstanzlichen Entscheids die Einziehung respektive eine staatliche Ersatzforderung nur in Bezug auf die Vermögenswerte an, welche der Beschwerdeführer dadurch erlangte, dass er am 25. April 2000 von der A. 45'000 B.-Aktien zu dem von ihm als Kaufpreis festgesetzten Nennwert von Fr. 10.- anstatt zum NAV von Fr. 20.76 erwarb. Von diesem Vermögenswert zieht die Vorinstanz den Betrag von Fr. 93'000.- ab, zu dessen Zahlung sich der Beschwerdeführer durch den Vergleich vom 1. Dezember 2005 mit der A. anteilsmässig verpflichtet und welchen er tatsächlich bezahlt hat. Daraus resultiert eine staatliche Ersatzforderung in der Höhe von Fr. 391'200.-. Es ist unerheblich, ob die Vergleichssumme von Fr. 350'000.- entsprechend den Feststellungen der Vorinstanz nur rund 17 % des Deliktsbetrags ausmacht oder ob das Verhältnis zwischen der Vergleichssumme und dem Deliktsbetrag, wie der Beschwerdeführer behauptet, unter Berücksichtigung von Gegenansprüchen in Tat und Wahrheit grösser ist. Einzuziehen ist der durch die strafbare Handlung erlangte BGE 139 IV 209 S. 214 Vermögenswert unter Abzug bereits erfolgter Rückzahlungen. Die Vorinstanz weist zwar darauf hin, dass die Vergleichssumme von Fr. 350'000.- lediglich 10 % der ursprünglichen Schadenersatzforderung der A. respektive 17 % des Deliktsbetrags ausmacht. Sie begründet die Einziehung beziehungsweise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Daraus ergibt sich, dass die Vorinstanz eine Einziehung respektive staatliche Ersatzforderung auch angeordnet hätte, wenn die Vergleichssumme beispielsweise 70 % der ursprünglichen Schadenersatzforderung betragen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