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195</w:t>
      </w:r>
    </w:p>
    <w:p>
      <w:r>
        <w:t>Bundesgericht (BGE), 2013-05-08, FR</w:t>
      </w:r>
    </w:p>
    <w:p>
      <w:r>
        <w:rPr>
          <w:b/>
        </w:rPr>
        <w:t xml:space="preserve">Quelle: </w:t>
      </w:r>
      <w:r>
        <w:t>https://mcp.opencaselaw.ch/entscheid/bge_BGE_139_IV_195</w:t>
      </w:r>
    </w:p>
    <w:p>
      <w:r>
        <w:t>FR: ATF 139 IV 195</w:t>
      </w:r>
    </w:p>
    <w:p>
      <w:r>
        <w:t>IT: DTF 139 IV 195</w:t>
      </w:r>
    </w:p>
    <w:p>
      <w:pPr>
        <w:pStyle w:val="Heading2"/>
      </w:pPr>
      <w:r>
        <w:t>Regeste</w:t>
      </w:r>
    </w:p>
    <w:p>
      <w:r>
        <w:t>Regeste Art. 273 Abs. 3 StPO; Dauer der rückwirkenden Überwachung des Fernmeldeverkehrs. Da die sich in Gang befindlichen Gesetzgebungsarbeiten auf die Pflicht hinweisen, dem Schutz der Privatsphäre der Benutzer und Dritten Rechnung zu tragen, muss man sich an den Wortlaut von Art. 273 Abs. 3 StPO halten, der eine rückwirkende Überwachung der in Absatz 1 umschriebenen Daten für eine Dauer von höchstens sechs Monaten erlaubt (E. 2).</w:t>
      </w:r>
    </w:p>
    <w:p>
      <w:r>
        <w:t>Regeste Art. 273 al. 3 CPP; période de surveillance rétroactive des télécommunications. Comme les travaux législatifs en cours font état du devoir de prendre en compte la protection de la sphère privée des utilisateurs et des tiers, il faut s'en tenir à la lettre de l'art. 273 al. 3 CPP qui autorise un contrôle rétroactif des données définies à l'alinéa 1 sur une période de six mois au plus (consid. 2).</w:t>
      </w:r>
    </w:p>
    <w:p>
      <w:r>
        <w:t>Regesto Art. 273 cpv. 3 CPP; durata del periodo di sorveglianza retroattiva del traffico delle telecomunicazioni. Poiché i lavori legislativi in corso accennano all'obbligo di considerare la protezione della sfera privata di utenti e di terzi, occorre attenersi al tenore letterale dell'art. 273 cpv. 3 CPP, che autorizza un controllo retroattivo delle informazioni definite al capoverso 1 per un periodo di sei mesi al massimo (consid. 2).</w:t>
      </w:r>
    </w:p>
    <w:p>
      <w:pPr>
        <w:pStyle w:val="Heading2"/>
      </w:pPr>
      <w:r>
        <w:t>Erwägungen</w:t>
      </w:r>
    </w:p>
    <w:p>
      <w:r>
        <w:rPr>
          <w:b/>
        </w:rPr>
        <w:t>E. 2</w:t>
      </w:r>
    </w:p>
    <w:p>
      <w:r>
        <w:t>Le Ministère public reproche au Tmc d'avoir violé le droit fédéral en retenant que la surveillance rétroactive ordonnée n'était pas susceptible d'être autorisée au regard de l' art. 273 al. 3 CPP . Il n'est pas contesté que les conditions légales prévues aux art. 269 al. 1 let. b et c et 273 al. 1 CPP pour une surveillance rétroactive des télécommunications sur le raccordement considéré sont réalisées. Seule est litigieuse la question de la durée de la surveillance rétroactive.</w:t>
      </w:r>
    </w:p>
    <w:p>
      <w:r>
        <w:rPr>
          <w:b/>
        </w:rPr>
        <w:t>E. 2.1</w:t>
      </w:r>
    </w:p>
    <w:p>
      <w:r>
        <w:t>A teneur de l' art. 273 al. 1 CPP , lorsque de graves soupçons laissent présumer qu'un crime, un délit ou une contravention au sens de l'art. 179 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ou les données relatives au trafic et à la facturation (let. b). L'alinéa 3 de cette disposition précise que ces données peuvent être demandées avec effet rétroactif sur une période de six mois au plus, indépendamment de la durée de la surveillance.</w:t>
      </w:r>
    </w:p>
    <w:p>
      <w:r>
        <w:rPr>
          <w:b/>
        </w:rPr>
        <w:t>E. 2.2</w:t>
      </w:r>
    </w:p>
    <w:p>
      <w:r>
        <w:t>La possibilité de surveiller la correspondance par télécommunication a été introduite afin de garantir une poursuite pénale efficace BGE 139 IV 195 S. 197 lorsque les auteurs d'infraction utilisent les moyens de communication modernes dans la préparation et l'exécution de délits. La règle des six mois ancrée à l' art. 273 al. 3 CPP garantit d'une part que la surveillance rétroactive ne puisse pas être illimitée. D'autre part, elle prend en compte le fait que les fournisseurs de services postaux et de télécommunication ne sont pas obligés par le droit administratif (art. 12 al. 2 et art. 15 al. 3 de la loi fédérale du 6 octobre 2000 sur la surveillance de la correspondance par poste et télécommunication [LSCPT; RS 780.1]) de conserver les données au-delà de six mois (THOMAS HANSJAKOB, in Zürcher Kommentar, Schweizerische Strafprozessordnung, 2010, n° 13 ad art. 273 CPP ; ATF 139 IV 98 consid. 4.5 p. 100). Le législateur n'a pas réglé expressément le cas dans lequel le fournisseur a conservé spontanément des données utiles à l'instruction pénale pour une période remontant à plus de six mois. Le Message du 21 décembre 2005 relatif à l'unification du droit de la procédure pénale (FF 2006 1233) ne se prononce pas sur ce cas de figure. La doctrine n'est pas unanime sur la nature juridique du délai de six mois ancré à l' art. 273 al. 3 CPP . Pour certains, le délai est impératif, même lorsque les fournisseurs disposent de données plus anciennes (MARC JEAN-RICHARD-DIT-BRESSEL, in Basler Kommentar, Schweizerische Strafprozessordnung, 2011, n° 5 ad art. 273 CPP ). Pour d'autres, ce délai est un simple délai d'ordre (ZUFFEREY/BACHER, in Commentaire romand, Code de procédure pénale suisse, 2011, n° 7 ad art. 273 CPP ; MOREILLON/PAREIN-REYMOND, CPP, Code de procédure pénale, 2013, n° 14 ad art. 273 al. 3 CPP ). Dans un arrêt récent, le Tribunal fédéral a considéré que l' art. 273 al. 3 CPP pourrait être interprété de manière à permettre, en toutes circonstances et sans motivation particulière, la surveillance rétroactive d'une durée de six mois et, lorsque des motifs particuliers le justifient, également pour une période plus longue (cf. HANSJAKOB, op. cit., n° 14 ad art. 273 CPP ). Il n'a cependant pas eu à approfondir la question et l'a donc laissée indécise, dans la mesure où l' art. 273 CPP ne s'appliquait pas en l'espèce s'agissant d'un acte punissable commis au moyen d'internet. En effet, une disposition spéciale, l' art. 14 al. 4 LSCPT , prévoyait un délai plus long ( ATF 139 IV 98 consid. 4.8 p. 101).</w:t>
      </w:r>
    </w:p>
    <w:p>
      <w:r>
        <w:rPr>
          <w:b/>
        </w:rPr>
        <w:t>E. 2.3</w:t>
      </w:r>
    </w:p>
    <w:p>
      <w:r>
        <w:t>Dans l'intervalle, le Conseil fédéral a adopté le 28 février 2013 le projet de révision de la LSCPT. L'art. 273 al. 3 P-CPP prévoit que BGE 139 IV 195 S. 198 les données secondaires - soit les données indiquant avec qui, quand, combien de temps et d'où la personne surveillée a été ou est en communication ainsi que les caractéristiques techniques de la communication considérée (art. 8 let. b P-LSCPT) - peuvent être demandées avec effet rétroactif sur une période de douze mois au maximum (FF 2013 2503). Dans son Message à l'appui de la révision de la LSCPT, le Conseil fédéral propose d'allonger de six mois à douze mois la durée de conservation des données secondaires afin de permettre une poursuite plus efficace des infractions. Il souligne que le délai de conservation de six mois est trop court puisqu'il est souvent totalement ou en grande partie échu lorsque l'autorité est en mesure d'ordonner une surveillance (FF 2013 2393 ch. 1.4.7). Le Conseil fédéral mentionne en outre, à l'appui de sa proposition, la directive de l'Union européenne 2006/24/CE du Parlement européen et du Conseil du 15 mars 2006 sur la conservation de données générées ou traitées dans le cadre de la fourniture de services de communications électroniques accessibles au public ou de réseaux publics de communications, JO L 105 du 13 avril 2006 p. 54. Celle-ci autorise, pour les données correspondant aux données secondaires en Suisse, une durée de conservation de six mois au minimum à, en principe, deux ans au maximum à compter de la date de la communication (FF 2013 2437 ad art. 26 al. 5). Le Conseil fédéral conclut qu'eu égard aux intérêts publics en jeu, il y a lieu de considérer que l'extension de six à douze mois de la période de conservation des données est compatible avec les droits fondamentaux des personnes dont les données sont conservées (FF 2013 2436 ad art. 26 al. 5). Les travaux législatifs en cours démontrent la nécessité d'allonger la période de collecte rétroactive des données secondaires. Ils font cependant aussi état du devoir de prendre en compte la protection de la sphère privée des utilisateurs et des tiers. Vu ces éléments, il faut en définitive s'en tenir à la lettre de l' art. 273 al. 3 CPP qui autorise un contrôle rétroactif sur une période de six mois au plus. Par conséquent, l' art. 273 al. 3 CPP , dans sa teneur actuelle, fait obstacle à la prolongation de la période de transmission des données aux autorités pénales au-delà de six mois. Pour le surplus, il incombera au législateur de fixer le délai le mieux adapté au but de poursuite plus efficace des infractions (cf. FF 2013 2393 ch. 1.4.7).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