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186</w:t>
      </w:r>
    </w:p>
    <w:p>
      <w:r>
        <w:t>Bundesgericht (BGE), 2013-03-06, FR</w:t>
      </w:r>
    </w:p>
    <w:p>
      <w:r>
        <w:rPr>
          <w:b/>
        </w:rPr>
        <w:t xml:space="preserve">Quelle: </w:t>
      </w:r>
      <w:r>
        <w:t>https://mcp.opencaselaw.ch/entscheid/bge_BGE_139_IV_186</w:t>
      </w:r>
    </w:p>
    <w:p>
      <w:r>
        <w:t>FR: ATF 139 IV 186</w:t>
      </w:r>
    </w:p>
    <w:p>
      <w:r>
        <w:t>IT: DTF 139 IV 186</w:t>
      </w:r>
    </w:p>
    <w:p>
      <w:pPr>
        <w:pStyle w:val="Heading2"/>
      </w:pPr>
      <w:r>
        <w:t>Regeste</w:t>
      </w:r>
    </w:p>
    <w:p>
      <w:r>
        <w:t>Regeste Art. 227 Abs. 7 und Art. 231 Abs. 2 StPO; keine periodische automatische Überprüfung der Sicherheitshaft während des Berufungsverfahrens. Mangels Verweis auf Art. 227 Abs. 7 StPO erfolgt keine periodische Überprüfung der Sicherheitshaft, sobald das Berufungsgericht mit der Sache befasst ist (E. 2).</w:t>
      </w:r>
    </w:p>
    <w:p>
      <w:r>
        <w:t>Regeste Art. 227 al. 7 et art. 231 al. 2 CPP; absence de contrôle périodique automatique de la détention pendant la procédure d'appel. En l'absence de renvoi à l'art. 227 al. 7 CPP, la détention pour des motifs de sûreté ne doit pas faire l'objet d'un contrôle périodique une fois la juridiction d'appel saisie (consid. 2).</w:t>
      </w:r>
    </w:p>
    <w:p>
      <w:r>
        <w:t>Regesto Art. 227 cpv. 7 e art. 231 cpv. 2 CPP; assenza di controllo periodico automatico della carcerazione durante la procedura di appello. In assenza di rinvio all'art. 227 cpv. 7 CPP, la carcerazione per motivi di sicurezza non dev'essere oggetto di un controllo periodico appena è adita la giurisdizione d'appello (consid. 2).</w:t>
      </w:r>
    </w:p>
    <w:p>
      <w:pPr>
        <w:pStyle w:val="Heading2"/>
      </w:pPr>
      <w:r>
        <w:t>Erwägungen</w:t>
      </w:r>
    </w:p>
    <w:p>
      <w:r>
        <w:rPr>
          <w:b/>
        </w:rPr>
        <w:t>E. 2</w:t>
      </w:r>
    </w:p>
    <w:p>
      <w:r>
        <w:t>Une mesure de détention préventive n'est compatible avec la liberté personnelle ( art. 10 al. 2 Cst. et art. 5 CEDH ) que si elle repose sur une base légale ( art. 31 al. 1 et art. 36 al. 1 Cst.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BGE 139 IV 186 S. 188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2.1</w:t>
      </w:r>
    </w:p>
    <w:p>
      <w:r>
        <w:t>Le recourant ne critique pas que les conditions énumérées à l' art. 221 CPP soient réalisées en l'espèce. Ses griefs sont exclusivement dirigés contre l'absence alléguée de titre de détention depuis le 3 janvier 2013. Le recourant invoque en effet une violation de l' art. 31 al. 1 Cst. , ainsi que des art. 229 al. 3 let. b et 227 al. 7 CPP. Il fait valoir que la durée de la détention pour des motifs de sûreté, sur demande du Ministère public dans le cadre de la procédure d'appel et après acquittement par le tribunal de première instance, doit, à l'instar de la détention provisoire, être fixée pour une durée maximale de trois mois, renouvelable. Tel n'ayant pas été le cas le concernant, la détention qu'il subit depuis le 3 janvier 2013, soit depuis l'écoulement de trois mois à compter de la décision de la Cour de justice, serait illégale.</w:t>
      </w:r>
    </w:p>
    <w:p>
      <w:r>
        <w:rPr>
          <w:b/>
        </w:rPr>
        <w:t>E. 2.2</w:t>
      </w:r>
    </w:p>
    <w:p>
      <w:r>
        <w:t>Selon la jurisprudence, la nature de la détention demeure la même, qu'il s'agisse de détention provisoire ou pour des motifs de sûreté. Dès lors, un contrôle périodique de l'adéquation aux principes de célérité et de proportionnalité de la détention pour des motifs de sûreté doit pouvoir être opéré par le tribunal des mesures de contrainte ( ATF 137 IV 180 consid. 3.5 p. 186).</w:t>
      </w:r>
    </w:p>
    <w:p>
      <w:r>
        <w:rPr>
          <w:b/>
        </w:rPr>
        <w:t>E. 2.2.1</w:t>
      </w:r>
    </w:p>
    <w:p>
      <w:r>
        <w:t>Cette jurisprudence a été rendue pour régler les questions liées à la détention pendant la période comprise entre la notification de l'acte d'accusation ( art. 220 al. 2 CPP ) et le prononcé du jugement de première instance. Elle est fondée sur le renvoi à l' art. 227 al. 7 CPP prévu à l' art. 229 al. 3 CPP et justifiée par une interprétation littérale de ces dispositions. A ce stade de la procédure, le contrôle périodique de la détention est examiné par le Tribunal des mesures de contrainte ( art. 227 CPP ); ses décisions sont susceptibles de recours auprès de l'autorité cantonale de recours ( art. 222 et 393 al. 1 let . c CPP).</w:t>
      </w:r>
    </w:p>
    <w:p>
      <w:r>
        <w:rPr>
          <w:b/>
        </w:rPr>
        <w:t>E. 2.2.2</w:t>
      </w:r>
    </w:p>
    <w:p>
      <w:r>
        <w:t>Dans un arrêt plus récent ( ATF 139 IV 94 ), le Tribunal fédéral a eu l'occasion d'examiner les questions de détention pour des motifs de sûreté liées à la période comprise entre le prononcé du jugement de première instance et la saisine de la juridiction d'appel. Au moment du jugement, il appartient en effet au tribunal de BGE 139 IV 186 S. 189 première instance de déterminer si le prévenu qui a été condamné doit être placé ou maintenu en détention ( art. 231 al. 1 CPP ). Quant au jugement sur la culpabilité du prévenu, les sanctions et les autres conséquences, il est motivé et notifié dans les 60 jours, exceptionnellement dans les 90 jours à compter de la remise du dispositif (art. 351 en lien avec l' art. 84 al. 2 et 4 CPP ). Dans le système ainsi prévu par le code, la question de la prolongation de la détention pour une durée supérieure à trois mois après la notification du dispositif de première instance ne devrait pas se poser. Dans l'hypothèse - précisément réalisée dans l'arrêt précité - où le tribunal de première instance tarde à motiver son jugement de condamnation, il lui appartient alors de réexaminer lui-même d'office l'adéquation aux principes de célérité et de proportionnalité de la détention pour des motifs de sûreté (arrêt précité, consid. 2.3.1). Afin d'assurer un contrôle de telles décisions, une voie de recours est assurée auprès de l'autorité cantonale de recours ( art. 393 al. 1 let. b CPP ).</w:t>
      </w:r>
    </w:p>
    <w:p>
      <w:r>
        <w:rPr>
          <w:b/>
        </w:rPr>
        <w:t>E. 2.2.3</w:t>
      </w:r>
    </w:p>
    <w:p>
      <w:r>
        <w:t>Dès que la juridiction d'appel est saisie ( art. 399 al. 2 CPP ), les art. 231-233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(arrêt 1B_683/ 2011 du 5 janvier 2012 consid. 2.3, in Pra 2012 n° 113 p. 791). Dans tous les cas, elle doit rendre, par référence à l' art. 226 al. 2 CPP , une décision écrite et sommairement motivée ( ATF 138 IV 81 consid. 2.5). La question de savoir si un contrôle périodique de la détention pour des motifs de sûreté doit également intervenir à compter de la saisine de l'instance d'appel n'a pas encore été tranchée par le Tribunal fédéral. Certains auteurs rejettent l'obligation d'un contrôle périodique, se référant à l'absence de renvoi à l' art. 227 CPP devant l'instance d'appel (DANIEL LOGOS, in Commentaire romand, Code de procédure pénale suisse, 2011, n° 23 ad art. 231 CPP avec renvoi au n° 17 ad art. 229 CPP ; cf. également NIKLAUS SCHMID, Handbuch des BGE 139 IV 186 S. 190 schweizerischen Strafprozessrechts, 2009, n. 1048). D'autres auteurs admettent que la procédure de prolongation périodique de la détention s'applique en appel (PIQUEREZ/MACALUSO, Procédure pénale suisse, 3 e éd. 2011, p. 436 n. 1245; NIKLAUS OBERHOLZER, Grundzüge des Strafprozessrechts, 3 e éd. 2012, n. 975). Ils émettent néanmoins des critiques, dénonçant, pour l'un, le formalisme d'un tel contrôle qui serait inutile et ne renforcerait pas la position juridique du détenu (OBERHOLZER, op. cit., n. 976) et attirant, pour les autres, l'attention sur les problèmes liés à l'incompatibilité entre la fonction juge du contrôle de la détention et celle de juge du fond (PIQUEREZ/MACALUSO, op. cit., n os 1247-1250; cf. cependant: ATF 138 I 425 consid. 4.4 p. 432). Devant l'instance d'appel, la question de savoir qui doit saisir la direction de la procédure d'appel en vue de la prolongation de la détention pour des motifs de sûreté n'est pas réglée par la loi. La transposition du système institué par la jurisprudence pour la procédure devant le tribunal de première instance (cf. supra consid. 2.2.2) entraînerait un contrôle d'office par la direction de la procédure d'appel elle-même. Contrairement à ce qui prévaut devant la première instance, une voie de recours cantonale ne serait cependant pas ouverte contre de telles décisions (art. 393 al. 1 a contrario et art. 233 CPP ). Dès lors, le contrôle par une juridiction cantonale supérieure du respect des principes de célérité et de proportionnalité de la détention préventive ne serait pas assuré. Quant au recours en matière pénale auprès du Tribunal fédéral, il ne permet pas un contrôle aussi étendu que celui procuré par le recours cantonal (cf. art. 393 al. 2 CPP , art. 95 et 97 al. 1 LTF ). Ce résultat ne serait d'ailleurs pas différent si la saisine de la direction de la procédure d'appel en matière de prolongation de la détention pour des motifs de sûreté était donnée au Ministère public, par application analogique des art. 225 et 227 CPP (dans ce sens: OBERHOLZER, op. cit., n. 982). Ces éléments, inhérents aux spécificités de la procédure d'appel, amènent le Tribunal fédéral à considérer que le principe du contrôle périodique de la détention pour des motifs de sûreté n'est pas transposable en deuxième instance. Contrairement à la situation évoquée sous consid. 2.1.1 ci-dessus, le texte de la loi ne contient aucun renvoi à l' art. 227 al. 7 CPP . En outre, l'examen des art. 231 al. 2, 232 et 233 CPP et des travaux préparatoires y relatifs (Message du 21 décembre 2005 relatif à l'unification du droit de la procédure pénale, FF 2006 1216 s. ad art. 230) ne laisse aucune place à l'introduction d'un contrôle périodique de la détention à ce stade-là du procès pénal. A ce moment-là de la procédure, un jugement de condamnation BGE 139 IV 186 S. 191 a d'ailleurs déjà été rendu, ce qui renforce l'existence de forts soupçons au sens de l' art. 221 al. 1 CPP et réduit d'autant l'obligation périodique d'en contrôler l'existence. A cela s'ajoute le fait que l'organisation des débats d'appel devrait en règle générale être moins lourde qu'en première instance (cf. art. 404 CPP ), ce qui devrait réduire la durée de cette procédure. Enfin, dans la mesure où le prévenu peut en tout temps demander sa libération auprès de la direction de la procédure d'appel ( art. 233 CPP ), sa position juridique n'est pas affectée par la présente solution.</w:t>
      </w:r>
    </w:p>
    <w:p>
      <w:r>
        <w:rPr>
          <w:b/>
        </w:rPr>
        <w:t>E. 2.3</w:t>
      </w:r>
    </w:p>
    <w:p>
      <w:r>
        <w:t>En l'espèce, la détention litigieuse a été ordonnée le 2 octobre 2012 en application de l' art. 231 al. 2 CPP par la juridiction d'appel, laquelle a indiqué qu'elle vaudrait jusqu'à droit connu en appel. Pour les motifs qui viennent d'être évoqués, une telle manière de procéder ne viole pas le droit fédéral. S'agissant au demeurant ici d'une prévention, notamment, d'actes d'ordre sexuel commis sur une personne incapable de discernement ou de résistance, avec la circonstance aggravante de la commission en commun autorisant le prononcé d'une peine maximale de 15 ans ( art. 191 et 200 CP ), la fixation des débats d'appel pour les 12 et 13 mars 2013, soit avant l'échéance du délai de six mois prévu à l' art. 227 al. 7 2 e hypothèse CPP, respecterait les principes de célérité et de proportionnalité de la détention pour motifs de sûreté.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