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460</w:t>
      </w:r>
    </w:p>
    <w:p>
      <w:r>
        <w:t>Bundesgericht (BGE), 2013-08-16, DE</w:t>
      </w:r>
    </w:p>
    <w:p>
      <w:r>
        <w:rPr>
          <w:b/>
        </w:rPr>
        <w:t xml:space="preserve">Quelle: </w:t>
      </w:r>
      <w:r>
        <w:t>https://mcp.opencaselaw.ch/entscheid/bge_BGE_139_II_460</w:t>
      </w:r>
    </w:p>
    <w:p>
      <w:r>
        <w:t>FR: ATF 139 II 460</w:t>
      </w:r>
    </w:p>
    <w:p>
      <w:r>
        <w:t>IT: DTF 139 II 460</w:t>
      </w:r>
    </w:p>
    <w:p>
      <w:pPr>
        <w:pStyle w:val="Heading2"/>
      </w:pPr>
      <w:r>
        <w:t>Regeste</w:t>
      </w:r>
    </w:p>
    <w:p>
      <w:r>
        <w:t>Regeste Art. 164 Abs. 2 und Art. 182 BV; Art. 13 Abs. 1, Art. 15 Abs. 1 lit. c und Art. 107 Abs. 3 MWSTG 2009; Art. 16 Abs. 3 MWSTV 2009; Art. 11 Abs. 1 BVG; konkrete Normenkontrolle; Verletzung des Gewaltenteilungsprinzips dadurch, dass die Mehrwertsteuerverordnung die Teilhabe von Einrichtungen der beruflichen Vorsorge an einer Mehrwertsteuergruppe in jedem Fall ausschliesst. Vorfrageweise Kontrolle bundesrätlicher Rechtsverordnungen. Verordnungsweiser Ausschluss der Teilhabe einer Personalvorsorgeeinrichtung an einer Mehrwertsteuergruppe (E. 2). Ein überwiegendes vorsorgerechtliches Schutzbedürfnis fehlt, wenn die Personalvorsorgeeinrichtung hundertprozentige oder qualifiziert mehrheitliche Beteiligungen unter ihrer einheitlichen Leitung vereinigt. Soweit das Halten derartiger Beteiligungen aufsichtsrechtlich überhaupt zulässig ist, kann der Stiftung - entgegen der angefochtenen Bestimmung - die Bildung einer Mehrwertsteuergruppe nicht verwehrt werden (E. 3). Art. 16 Abs. 3 MWSTV 2009 sprengt damit den Rahmen einer blossen Vollzugsverordnung und verletzt dadurch das Gewaltenteilungsprinzip (E. 4.1).</w:t>
      </w:r>
    </w:p>
    <w:p>
      <w:r>
        <w:t>Regeste Art. 164 al. 2 et art. 182 Cst.; art. 13 al. 1, art. 15 al. 1 let. c et art. 107 al. 3 LTVA 2009; art. 16 al. 3 OTVA 2009; art. 11 al. 1 LPP; contrôle concret des normes; violation du principe de la séparation des pouvoirs en tant que l'ordonnance régissant la taxe sur la valeur ajoutée exclut dans tous les cas la participation des institutions de prévoyance professionnelle à un groupe d'imposition TVA. Contrôle préjudiciel des ordonnances du Conseil fédéral. Exclusion par voie d'ordonnance de la participation des institutions de prévoyance professionnelle à un groupe d'imposition TVA (consid. 2). Un besoin de protection prépondérant selon le droit de la prévoyance professionnelle fait défaut lorsque l'institution de prévoyance réunit cent pour cent ou la majorité qualifiée des participations sous sa seule direction. Dans la mesure où la détention de telles participations est possible selon les dispositions régissant la surveillance des institutions, il ne peut pas être interdit à la fondation - contrairement à ce que prévoit la disposition attaquée - de constituer un groupe d'imposition TVA (consid. 3). L'art. 16 al. 3 OTVA 2009 sort ainsi du cadre d'une simple ordonnance d'exécution et viole le principe de la séparation des pouvoirs (consid. 4.1).</w:t>
      </w:r>
    </w:p>
    <w:p>
      <w:r>
        <w:t>Regesto Art. 164 cpv. 2 e art. 182 Cost.; art. 13 cpv. 1, art. 15 cpv. 1 lett. c e art. 107 cpv. 3 LIVA 2009; art. 16 cpv. 3 OIVA 2009; art. 11 cpv. 1 LPP; controllo concreto delle norme; violazione del principio della separazione dei poteri nella misura in cui l'ordinanza concernente l'imposta sul valore aggiunto esclude in ogni caso la partecipazione di istituti di previdenza professionale ad un gruppo d'imposizione IVA. Controllo pregiudiziale delle ordinanze del Consiglio federale. Esclusione per via d'ordinanza della partecipazione di istituti di previdenza professionale ad un gruppo d'imposizione IVA (consid. 2). Un bisogno di protezione preponderante secondo il diritto della previdenza professionale fa difetto quando l'istituto di previdenza professionale riunisce il cento per cento o la maggioranza qualificata di partecipazioni sotto la sua direzione. Per quanto la detenzione di simili partecipazioni sia davvero permessa, non può essere impedita alla fondazione - contrariamente a ciò che prevede la disposizione impugnata - la costituzione di un gruppo d'imposizione IVA (consid. 3). L'art. 16 cpv. 3 OIVA 2009 oltrepassa pertanto il quadro di una semplice ordinanza d'esecuzione e viola il principio della separazione dei poteri (consid. 4.1).</w:t>
      </w:r>
    </w:p>
    <w:p>
      <w:pPr>
        <w:pStyle w:val="Heading2"/>
      </w:pPr>
      <w:r>
        <w:t>Erwägungen</w:t>
      </w:r>
    </w:p>
    <w:p>
      <w:r>
        <w:rPr>
          <w:b/>
        </w:rPr>
        <w:t>E. 2</w:t>
      </w:r>
    </w:p>
    <w:p>
      <w:r>
        <w:t>Versicherungsvertreter und Versicherungsvertreterinnen können Mitglieder einer Gruppe sein.</w:t>
      </w:r>
    </w:p>
    <w:p>
      <w:r>
        <w:rPr>
          <w:b/>
        </w:rPr>
        <w:t>E. 2.1</w:t>
      </w:r>
    </w:p>
    <w:p>
      <w:r>
        <w:t>Ist der Bundesrat unmittelbar durch eine Delegationsnorm im Gesetz ( Art. 164 Abs. 2 BV ) dazu ermächtigt, erlässt er rechtsetzende Bestimmungen in der Form der Rechtsverordnung ( Art. 182 Abs. 1 BV ; sog. unselbständige Rechtsverordnungen). Auch wenn der Gesetzgeber davon abgesehen hat, der Exekutive derartige (beschränkte) Legislativfunktionen zu übertragen, obliegt es dem Bundesrat, die Gesetzgebung zu vollziehen ( Art. 182 Abs. 2 BV ). Zu diesem Zweck kann er verfassungsunmittelbar die erforderlichen rechtsvollziehenden Rechtsverordnungen erlassen. Der Anwendungsbereich von Ausführungs- und Vollziehungsverordnungen ist indes darauf beschränkt, die Bestimmungen des betreffenden Bundesgesetzes durch Detailvorschriften näher auszuführen und mithin zur BGE 139 II 460 S. 463 verbesserten Anwendbarkeit des Gesetzes beizutragen. Ausgangspunkt sind Sinn und Zweck des Gesetzes; sie kommen in grundsätzlicher Weise durch die Bestimmung im formellen Gesetz zum Ausdruck (vgl. BGE 133 II 331 E. 7.2.2 S. 348; BGE 126 II 283 E. 3b S. 291; BGE 124 I 127 E. 3b S. 132 f.; BGE 117 IV 349 E. 3c S. 354 f.; BGE 103 IV 192 E. 2a S. 194; BGE 99 Ib 159 E. 1a S. 165). Auch im Steuerrecht, das einem strengen Legalitätsprinzip unterliegt ( Art. 127 Abs. 1 BV ; BGE 138 V 32 E. 3.1.1 S. 35; BGE 136 II 337 E. 5.1 S. 348 f.; BGE 132 I 157 E. 2.2 S. 159; BGE 131 II 562 E. 3.1 S. 565), darf die Exekutive die zum Vollzug des Gesetzes benötigten Verordnungen erlassen (Urteil 2P.157/1992 vom 21. September 1993 E. 5a).</w:t>
      </w:r>
    </w:p>
    <w:p>
      <w:r>
        <w:rPr>
          <w:b/>
        </w:rPr>
        <w:t>E. 2.2</w:t>
      </w:r>
    </w:p>
    <w:p>
      <w:r>
        <w:t>Bestimmungen, welche die auszuführende Gesetzesbestimmung abändern oder aufheben, sind nicht vollziehender Natur und fallen aus dem geschilderten Kompetenzrahmen. Die Vollziehungsverordnung darf insbesondere weder die Rechte der Bürgerinnen und Bürger (zusätzlich) beschränken noch ihnen (weitere) Pflichten auferlegen, und zwar selbst dann nicht, wenn dies durch den Gesetzeszweck gedeckt wäre ( BGE 136 I 29 E. 3.3 S. 33; BGE 130 I 140 E. 5.1 S. 149 mit Hinweisen). Ebenso wenig kann eine gesetzgeberisch gewollte Unbestimmtheit des Gesetzes mittels einer Vollziehungsverordnung bereinigt werden. Demgegenüber dürfen praxisgemäss (untergeordnete) Gesetzeslücken im Rahmen der gesetzlichen Zielsetzung geschlossen werden ( BGE 124 I 127 E. 3c S. 133; BGE 112 Ia 107 E. 3c/ee S. 116).</w:t>
      </w:r>
    </w:p>
    <w:p>
      <w:r>
        <w:rPr>
          <w:b/>
        </w:rPr>
        <w:t>E. 2.3</w:t>
      </w:r>
    </w:p>
    <w:p>
      <w:r>
        <w:t>Vor dem Hintergrund dieser Kompetenzausscheidung kann das Bundesgericht Rechtsverordnungen des Bundesrates vorfrageweise (inzident, im Einzelfall), aber inhaltlich eingeschränkt auf ihre Rechtmässigkeit prüfen. Während bei selbständigen (rechtsetzenden verfassungsunmittelbaren) Rechtsverordnungen nur eine Überprüfung der Verfassungsmässigkeit in Betracht fällt, sind unselbständige Rechtsverordnungen und Vollziehungsverordnungen zunächst auf ihre Gesetzmässigkeit ( BGE 137 III 217 E. 2.3 S. 220 f.; BGE 137 V 321 E. 3.3.2 S. 331; BGE 136 II 337 E. 5.1 S. 348 f.) und hernach, soweit das Gesetz den Bundesrat nicht ermächtigt, von der Bundesverfassung abzuweichen, auf ihre Verfassungsmässigkeit ( BGE 137 V 321 E. 3.3.2 S. 331; BGE 131 II 271 E. 4 S. 276; BGE 128 II 247 E. 3.3 S. 252; BGE 126 II 283 E. 3b S. 290) zu prüfen (so schon BGE 100 Ib 318 E. 3 S. 319 f.; BGE 99 Ib 165 E. 1a S. 165). Die Zweckmässigkeit der getroffenen Anordnung entzieht sich der gerichtlichen Kontrolle BGE 139 II 460 S. 464 ( BGE 137 III 217 E. 2.3 S. 220 f.; BGE 137 V 321 E. 3.3.2 S. 331; BGE 136 II 337 E. 5.1 S. 348 f.). Es ist nicht Sache des Bundesgerichts, sich zur politischen, wirtschaftlichen oder anderweitigen Sachgerechtigkeit einer Verordnungsbestimmung zu äussern ( BGE 136 II 337 E. 5.1 S. 348 f.; BGE 133 V 569 E. 5.1 S. 571; BGE 131 II 562 E. 3.2 S. 566).</w:t>
      </w:r>
    </w:p>
    <w:p>
      <w:r>
        <w:rPr>
          <w:b/>
        </w:rPr>
        <w:t>E. 2.4</w:t>
      </w:r>
    </w:p>
    <w:p>
      <w:r>
        <w:t>Das Institut der Gruppenbesteuerung ist in der Schweiz mit Art. 17 Abs. 3 der Verordnung vom 22. Juni 1994 über die Mehrwertsteuer (MWSTV 1994; AS 1994 1464) eingeführt worden, welche Bestimmung verfassungsmässig ist ( BGE 125 II 326 ). Mit dem Institut sollen gruppenintern die Auswirkungen der steuerausgenommenen Umsätze ("taxe occulte") behoben und zugleich administrative Vereinfachungen herbeigeführt werden (Bericht des Eidgenössischen Finanzdepartements vom 22. Juni 1994 über das Vernehmlassungsverfahren zum Verordnungsentwurf über die Mehrwertsteuer vom 28. Oktober 1993, S. 14). Erreicht wird dies dadurch, dass die eng miteinander verbundenen Unternehmen gemeinsam als eine einzige steuerpflichtige Person behandelt werden. Dementsprechend sind die Umsätze zwischen den Gruppenmitgliedern ("Innenumsätze") nicht zu besteuern, mit der Folge, dass die Auswirkungen, die steuerausgenommene Umsätze (Art. 13 MWSTV 1994) zwangsläufig auf den Vorsteuerabzug haben (Art. 29 Abs. 2 MWSTV 1994 e contrario), im Innenverhältnis ausbleiben. Die "Aussenumsätze" der Gruppenmitglieder werden unmittelbar der Gruppe zugerechnet und begründen von Gesetzes wegen die solidarische Haftung der Mitglieder für sämtliche von der Gruppe geschuldeten Steuern (Art. 25 Abs. 1 lit. f MWSTV 1994). Der ESTV gegenüber wird die Gruppe unter Verordnungsrecht durch die Gruppenträgerin vertreten (dazu Urteil 2C_642/2007 vom 3. März 2008 E. 3.2, in: ASA 77 S. 267; BGE 125 II 326 E. 9a/aa S. 339 f.). Das Bundesgesetz vom 2. September 1999 über die Mehrwertsteuer (MWSTG 1999; AS 2000 1300) übernahm im Wesentlichen die bisherige Konzeption (materielle Regelung in Art. 22, Solidarhaftung in Art. 31 Abs. 1 lit. e MWSTG 1999; Urteil 2C_124/2009 vom 10. März 2010 E. 2.2, in: ASA 79 S. 580, RDAF 67/2011 II S. 168).</w:t>
      </w:r>
    </w:p>
    <w:p>
      <w:r>
        <w:rPr>
          <w:b/>
        </w:rPr>
        <w:t>E. 2.5</w:t>
      </w:r>
    </w:p>
    <w:p>
      <w:r>
        <w:t>Das geltende Bundesgesetz vom 12. Juni 2009 über die Mehrwertsteuer (MWSTG 2009; SR 641.20) setzt abermals das vorrevidierte Recht fort. Unter dem Titel "Gruppenbesteuerung" enthält Art. 13 Abs. 1 folgende Bestimmung: BGE 139 II 460 S. 465 "Rechtsträger mit Sitz oder Betriebsstätte in der Schweiz, die unter einheitlicher Leitung eines Rechtsträgers miteinander verbunden sind, können sich auf Antrag zu einem einzigen Steuersubjekt zusammenschliessen (Mehrwertsteuergruppe). In die Gruppe können auch Rechtsträger, die kein Unternehmen betreiben, und natürliche Personen einbezogen werden." Nach der bundesrätlichen Botschaft vom 25. Juni 2008 zur Vereinfachung der Mehrwertsteuer (BBl 2008 6885, insb. 6953 f. zu Art. 13) ist zwar bei natürlichen Personen fraglich, ob sie im Einzelfall durch einen Beherrschungsvertrag als unter einheitlicher Leitung stehend betrachtet werden können. Als "vorstellbar" bezeichnet der Bundesrat hingegen den Einbezug zum Beispiel eines für eine Versicherung tätigen Generalagenten oder einer Pensionskasse in die Gruppe. Aufgrund von Art. 15 Abs. 1 lit. c MWSTG 2009 haftet auch neurechtlich mit der steuerpflichtigen Person solidarisch jede zu einer Mehrwertsteuergruppe (Art. 13) gehörende Person oder Personengesellschaft für sämtliche von der Gruppe geschuldeten Steuern; tritt eine Person oder Personengesellschaft aus der Gruppe aus, so haftet sie nur noch für die Steuerforderungen, die sich aus ihren eigenen unternehmerischen Tätigkeiten ergeben haben. Im Anschluss daran bestimmt Art. 16 der Mehrwertsteuerverordnung vom 27. November 2009 (MWSTV 2009; SR 641.201): 1 Nicht rechtsfähige Personengesellschaften sind Rechtsträgern im Sinn von Art. 13 MWSTG gleichgestellt.</w:t>
      </w:r>
    </w:p>
    <w:p>
      <w:r>
        <w:rPr>
          <w:b/>
        </w:rPr>
        <w:t>E. 2.6</w:t>
      </w:r>
    </w:p>
    <w:p>
      <w:r>
        <w:t>Das Bundesgesetz vom 25. Juni 1982 über die berufliche Alters-, Hinterlassenen und Invalidenvorsorge (BVG; SR 831.40) findet auf die registrierten Vorsorgeeinrichtungen Anwendung ( Art. 5 Abs. 2 BVG ). In der Folge bestimmt Art. 11 Abs. 1 BVG , der Arbeitgeber, der obligatorisch zu versichernde Arbeitnehmer beschäftigt, müsse eine in das Register für die berufliche Vorsorge eingetragene Vorsorgeeinrichtung errichten oder sich einer solchen anschliessen (vgl. BGE 129 V 387 E. 5.2 S. 391). Das Hauptanliegen von Art. 11 Abs. 1 BVG - dies in Einklang mit Art. 331 Abs. 1 OR in der weitergehenden (ausserobligatorischen) Vorsorge - besteht darin, die Vorsorgemittel dauerhaft dem Vorsorgezweck zu widmen und dem Zugriff des Arbeitgebers oder Dritter (z.B. zur Deckung von Verbindlichkeiten der operativen Gesellschaften) wirksam zu entziehen ("Verselbständigungspflicht"; BGE 126 V 314 E. 3b S. 316). Dies schliesst aus, dass der Arbeitgeber das für die Personalvorsorge bestimmte Vermögen in seinen eigenen Büchern weiterführt und es als besonderen Passivposten ausweist ("Ausscheidungspflicht"; dazu JÜRG BRÜHWILER, Berufsvorsorgerechtliche Verselbständigungspflicht, SZS 41/1997 S. 497, insb. 498 f.). Über diesen Schutzgedanken hinaus erlaubt die Aussonderung des Vorsorgevermögens und dessen Übertragung auf einen unabhängigen Rechtsträger eine wirkungsvollere Beaufsichtigung und einfachere Prüfung (CARL HELBLING, Personalvorsorge und BVG, 8. Aufl. 2006, S. 82). Im Rahmen der übrigen gesetzlichen Vorgaben - zum Beispiel numerus clausus der Rechtsformen gemäss Art. 48 Abs. 2 BVG - sind die Vorsorgeeinrichtungen befugt, die Gestaltung ihrer Leistungen, deren Finanzierung und ihre Organisation frei zu bestimmen. Sie verfügen über einen Selbständigkeitsbereich ( Art. 49 Abs. 1 BVG bzw. Art. 80 i.V.m. 89a Abs. 1 ZGB in der weitergehenden beruflichen Vorsorge).</w:t>
      </w:r>
    </w:p>
    <w:p>
      <w:r>
        <w:rPr>
          <w:b/>
        </w:rPr>
        <w:t>E. 3</w:t>
      </w:r>
    </w:p>
    <w:p>
      <w:r>
        <w:t>Einrichtungen der beruflichen Vorsorge können nicht Mitglied einer Gruppe sein. In den Erläuterungen vom 27. November 2009 zur Mehrwertsteuerverordnung (nur online einsehbar) kommentiert der Bundesrat Art. 16 Abs. 3 MWSTV 2009 zwar dahingehend, dass botschaftsgemäss der Einbezug einer Pensionskasse in eine Gruppe vorstellbar sei. Da die Mitglieder einer Gruppe jedoch nach Art. 15 Abs. 1 lit. c MWSTG für sämtliche Mehrwertsteuerschulden der anderen Gruppenmitglieder solidarisch hafteten, würde die Aufnahme von Vorsorgeeinrichtungen in eine Gruppe einen Verstoss gegen die sozialversicherungsrechtliche Verselbstständigungspflicht darstellen. Das Bundesamt für Sozialversicherungen habe sich entschieden gegen die Möglichkeit einer Aufnahme von Vorsorgeeinrichtungen in Mehrwertsteuergruppen ausgesprochen, was nun in Absatz 3 ausdrücklich festgehalten werde. BGE 139 II 460 S. 466</w:t>
      </w:r>
    </w:p>
    <w:p>
      <w:r>
        <w:rPr>
          <w:b/>
        </w:rPr>
        <w:t>E. 3.1</w:t>
      </w:r>
    </w:p>
    <w:p>
      <w:r>
        <w:t>Mit der Vorinstanz geht die ESTV davon aus, dass Art. 16 Abs. 3 MWSTV 2009 auf keiner gesetzlichen Delegationsnorm beruhe. In der Tat lässt sich eine solche weder Art. 13 noch Art. 107 MWSTG 2009 entnehmen. Damit fragt sich, ob die streitbetroffene Norm als Vollziehungsverordnung betrachtet werden kann, deren Grundlage sich unmittelbar aus Art. 182 Abs. 2 BV (bzw. dem rein deklaratorisch gehaltenen Art. 107 Abs. 3 MWSTG 2009) herleiten lässt.</w:t>
      </w:r>
    </w:p>
    <w:p>
      <w:r>
        <w:rPr>
          <w:b/>
        </w:rPr>
        <w:t>E. 3.2</w:t>
      </w:r>
    </w:p>
    <w:p>
      <w:r>
        <w:t>Während die Botschaft vom 25. Juni 2008 zum Gesetzesentwurf noch davon spricht, der Einbezug von Pensionskassen in die BGE 139 II 460 S. 467 Gruppe sei "vorstellbar", schliessen die Erläuterungen vom 27. November 2009 zur Verordnung dies ausdrücklich aus. Die Begründung geht dahin, die Aufnahme von Vorsorgeeinrichtungen in eine Gruppe würde die vorsorgerechtliche Verselbständigungspflicht verletzen. Das Berufsvorsorgegesetz ist zwar älteres Recht als die heutige Mehrwertsteuergesetzgebung, in Bezug auf den Aspekt der Verselbständigungspflicht aber das speziellere Recht. Die Stossrichtung, die Art. 11 Abs. 1 BVG verfolgt, ist überdies von unverminderter Aktualität. Die ESTV geht davon aus, Art. 15 Abs. 1 lit. c MWSTG 2009 stehe insgesamt in unlösbarem Widerspruch zu Art. 11 Abs. 1 BVG . Sie folgert sinngemäss, Art. 11 Abs. 1 BVG beanspruche deswegen den Vorrang gegenüber Art. 13 Abs. 1 MWSTG , sodass der Bundesrat Art. 16 Abs. 3 MWSTV 2009 mit Recht erlassen habe.</w:t>
      </w:r>
    </w:p>
    <w:p>
      <w:r>
        <w:rPr>
          <w:b/>
        </w:rPr>
        <w:t>E. 3.3</w:t>
      </w:r>
    </w:p>
    <w:p>
      <w:r>
        <w:t>Dem Grundsatz der Einheit der Rechtsordnung kommt gerade im Steuerrecht, das regelmässig auf fremdrechtliche Sachverhalte anzuwenden ist, erhebliche Bedeutung zu (vgl. BGE 138 II 300 E. 3.6.2 S. 308 [DBG/ZGB]). Dementsprechend stellen sich im Steuerrecht häufig Vorfragen aus anderen Rechtsgebieten (Urteil 2C_566/2008 vom 16. Dezember 2008 E. 4.1, in: StE 2009 B 22.3 Nr. 99, StR 64/2009 S. 561; BGE 131 III 546 E. 2.3 S. 551; vgl. auch BGE 139 II 233 E. 5.4.2 S. 240 f.; je mit Hinweisen), was nach einer einheitlichen Beantwortung ruft. Auch innerhalb der verschiedenen Steuerarten ist eine Harmonisierung wünschbar ( BGE 138 II 251 E. 2.4 S. 256 ff. [DBG/MWSTG]). Dies alles gilt für die Rechtsprechung, ebenso aber auch für die Rechtsetzung. So ist es durchaus sinnvoll, wenn schon der Verordnungsgeber im Abgaberecht auf die zivilrechtliche Regelung abstellt ( BGE 136 V 258 E. 4.7 S. 266 f. [AHVV/OR]). Die interdisziplinäre Harmonisierung findet ihre Grenzen dort, wo ein Harmonisierungsbedürfnis fehlt. Wie zu zeigen ist, bestehen unter den vorliegenden Umständen keine fremdrechtlichen (hier: vorsorgerechtlichen) Gründe, die gebieten würden, Personalvorsorgeeinrichtungen in jeder möglichen Konstellation von der Teilnahme an der Mehrwertsteuergruppe auszuschliessen.</w:t>
      </w:r>
    </w:p>
    <w:p>
      <w:r>
        <w:rPr>
          <w:b/>
        </w:rPr>
        <w:t>E. 3.4</w:t>
      </w:r>
    </w:p>
    <w:p>
      <w:r>
        <w:t>Einrichtungen der beruflichen Vorsorge verfügen im Rahmen der gesetzlichen Vorgaben über einen Selbständigkeitsbereich. In diesem Umfang kommt ihnen die Organisationshoheit zu ( Art. 49 Abs. 1 BVG bzw. Art. 80 i.V.m. Art. 89a Abs. 1 ZGB ). Die Ausgliederung von Aufgaben der Personalvorsorgeeinrichtung auf eine hundertprozentige oder qualifiziert mehrheitlich gehaltene BGE 139 II 460 S. 468 Tochtergesellschaft muss nicht in zwangsläufigem Widerspruch zum Hauptanliegen von Art. 11 Abs. 1 BVG (und von Art. 331 Abs. 1 OR ) stehen. Mit Blick auf die regulatorischen Vorgaben von Art. 11 Abs. 1 BVG gilt es zwar zu vermeiden, dass eine Personalvorsorgeeinrichtung unter Leitung namentlich der Stifterunternehmung steht. Nichts spricht hingegen von vornherein dagegen, dass umgekehrt eine oder mehrere operative Gesellschaften unter der "einheitlichen Leitung" (Art. 13 Abs. 1 Satz 1 MWSTG 2009) einer solchen Personalvorsorgeeinrichtung stehen. Unter betriebswirtschaftlichen Gesichtspunkten kann es gegenteils sinnvoll sein, bestimmte Tätigkeiten (etwa die Verwaltung und Betreuung von Grundstücken oder anderem Anlagevermögen) von der Vorsorgeeinrichtung auf eine dafür spezialisierte Beteiligung zu übertragen. Zumindest solange, als es sich um eine hundertprozentige oder eine qualifiziert mehrheitlich gehaltene Tochtergesellschaft handelt, ist die gesellschaftsrechtliche Einflussnahme und Kontrolle (im Verwaltungsrat, an der Generalversammlung, durch die Revisionsstelle) durch die paritätisch besetzte Personalvorsorgeeinrichtung ( Art. 51 BVG ) grundsätzlich gewährleistet. Im Ergebnis wird das ökonomische Risiko bei Auslagerung (Outsourcing) einer Aufgabe von der Personalvorsorgeeinrichtung an eine derartige Tochtergesellschaft mit dem Risiko vergleichbar sein, das bestünde, würde die Einrichtung der beruflichen Vorsorge diese Aufgabe selber bewältigen.</w:t>
      </w:r>
    </w:p>
    <w:p>
      <w:r>
        <w:rPr>
          <w:b/>
        </w:rPr>
        <w:t>E. 3.5</w:t>
      </w:r>
    </w:p>
    <w:p>
      <w:r>
        <w:t>Das Mehrwertsteuerrecht schafft bei Gruppenangehörigkeit eine solidarische Haftung, wo zivil- und vorsorgerechtlich von Gesetzes wegen keine solche besteht. Bei einer hundertprozentigen oder qualifiziert mehrheitlich gehaltenen Tochtergesellschaft, soweit vorsorgerechtlich überhaupt zulässig, vermag die mehrwertsteuerliche Solidarhaftung im Regelfall freilich kein zusätzliches ökonomisches Risiko der Personalvorsorgeeinrichtung (Aktionärin) zu begründen. Die Aktionärin könnte als solidarisch Haftende lediglich dann belangt werden, wenn die Tochtergesellschaft Aussenumsätze erbringt, ohne über diese mehrwertsteuerlich abzurechnen. Wie gezeigt, verfügt die Vorsorgeeinrichtung in Fällen qualifizierter Beteiligungen jedoch über alle gesellschaftsrechtlich erforderlichen Steuerungs- und Kontrollmittel, um einer solchen Gefahr rechtzeitig zu begegnen. In ihrer Eigenschaft als Gruppenvertretung (Art. 18 Abs. 3 MWSTV 2009) hat sie überdies die interne Mehrwertsteuerabrechnung der Tochtergesellschaft zu konsolidieren (Art. 21 Abs. 2 MWSTV 2009), was ihr jederzeit den Überblick über die BGE 139 II 460 S. 469 Steuerforderung (Umsatzsteuer minus Vorsteuer, sog. Saldoprinzip; Art. 36 Abs. 2, Art. 86 Abs. 1 MWSTG 2009) verschafft. Dem potentiellen ökonomischen (Rest-)Risiko steht freilich ein aktueller ökonomischer Vorteil gegenüber. So liegt der Hauptzweck der Mehrwertsteuergruppe gerade darin, die unerwünschte "taxe occulte" zu beseitigen, die sich auf Ebene der Vorsorgeeinrichtung infolge der beschränkten Vorsteuerabzugsberechtigung zwangsläufig einstellt. Die Schattensteuerbelastung ginge zulasten des Vorsorgevermögens. Bildet die Personalvorsorgeeinrichtung eine Gruppe, entfällt der Schattensteuereffekt auf gruppenintern bezogenen Leistungen. Der (restriktiven) Haltung von Bundesrat und Verwaltung ist denn auch Kritik erwachsen (PETER LANG, Aspekte der Versicherung im schweizerischen Mehrwertsteuerrecht, ASA 77 S. 121, insb. 146; zustimmend CLAUDE RUFF, L'imposition de groupe, ASA 74 S. 379, insb. 383).</w:t>
      </w:r>
    </w:p>
    <w:p>
      <w:r>
        <w:rPr>
          <w:b/>
        </w:rPr>
        <w:t>E. 3.6</w:t>
      </w:r>
    </w:p>
    <w:p>
      <w:r>
        <w:t>In einer Konstellation wie der vorliegenden steht die Personalvorsorgeeinrichtung nicht unter einer "einheitlichen Leitung". Es ist damit kein vorsorgerechtliches (Schutz-)Bedürfnis ersichtlich, das einen Ausschluss der Personalvorsorgeeinrichtung von der Teilhabe an der Mehrwertsteuergruppe erfordert. Die Ausnahmebestimmung von Art. 16 Abs. 3 MWSTV 2009 lässt keine Gegenausnahme zu. Damit geht sie über eine Konkretisierung des Gesetzes hinaus. Sie schränkt den Begriff der "einheitlichen Leitung" bzw. der subjektiven Möglichkeit, an einer Mehrwertsteuergruppe teilzuhaben, in einer Weise ein, die der vorliegenden Struktur nicht gerecht wird. Wäre der Normkonflikt dem Gesetzgeber bewusst gewesen, hätte er dessen Lösung im Gesetz herbeiführen oder zumindest eine Delegationsnorm schaffen müssen. Nachdem dies unterblieben ist, kann dem Anliegen nicht im Wege einer blossen Vollzugsverordnung Rechnung getragen werden. Der verordnete Eingriff in die gesetzlich umschriebenen Voraussetzungen der Gruppenbildung entbehrt damit im vorliegenden Fall der gesetzlichen Grundlage. Wie es sich mit anderen denkbaren Strukturen verhält, kann im vorliegenden Verfahren der vorfrageweisen Normenkontrolle offenbleiben. Im Übrigen ist es Sache der BVG-Aufsicht ( Art. 61 ff. BVG ), die vorsorgerechtliche Zulässigkeit von Tochtergesellschaften zu beurteilen.</w:t>
      </w:r>
    </w:p>
    <w:p>
      <w:r>
        <w:rPr>
          <w:b/>
        </w:rPr>
        <w:t>E. 4.1</w:t>
      </w:r>
    </w:p>
    <w:p>
      <w:r>
        <w:t>Art. 16 Abs. 3 MWSTV 2009 wird damit einer Konstellation wie der vorliegenden nicht gerecht. Der Norm fehlt für den Fall, dass die BGE 139 II 460 S. 470 Personalvorsorgeeinrichtung an der Spitze der Mehrwertsteuergruppe steht und hundertprozentige Tochtergesellschaften oder qualifiziert mehrheitlich gehaltene Beteiligungen hält, die gesetzliche oder verfassungsrechtliche Grundlage. Insofern verletzt sie das Gewaltenteilungsprinzip. Die Beschwerde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