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134</w:t>
      </w:r>
    </w:p>
    <w:p>
      <w:r>
        <w:t>Bundesgericht (BGE), 2013-03-15, DE</w:t>
      </w:r>
    </w:p>
    <w:p>
      <w:r>
        <w:rPr>
          <w:b/>
        </w:rPr>
        <w:t xml:space="preserve">Quelle: </w:t>
      </w:r>
      <w:r>
        <w:t>https://mcp.opencaselaw.ch/entscheid/bge_BGE_139_II_134</w:t>
      </w:r>
    </w:p>
    <w:p>
      <w:r>
        <w:t>FR: ATF 139 II 134</w:t>
      </w:r>
    </w:p>
    <w:p>
      <w:r>
        <w:t>IT: DTF 139 II 134</w:t>
      </w:r>
    </w:p>
    <w:p>
      <w:pPr>
        <w:pStyle w:val="Heading2"/>
      </w:pPr>
      <w:r>
        <w:t>Regeste</w:t>
      </w:r>
    </w:p>
    <w:p>
      <w:r>
        <w:t>Regeste Bewilligungspflicht von Probebohrungen im Waldgebiet. Probebohrungen im Waldgebiet bedürfen einer Ausnahmebewilligung gemäss Art. 24 RPG, wenn das Vorhaben so gewichtige Auswirkungen auf Raum und Umwelt hat, dass ein Interesse der Öffentlichkeit oder der Nachbarn an einer vorgängigen Kontrolle besteht. Von massgeblicher Bedeutung für die Beurteilung der räumlichen Folgen sind insbesondere die Art und Empfindlichkeit der Umgebung, in welcher das Vorhaben realisiert werden soll. Angesichts des besonderen Standorts im Wald sind die mit den fraglichen Probebohrungen verbundenen negativen Auswirkungen auf die Umgebung als so erheblich einzustufen, dass die Bewilligungspflicht nach Art. 24 RPG zu bejahen ist (E. 5.2 und 5.3). Für den Wald nachteilige Nutzungen, die keine Rodung darstellen, können von den Kantonen gemäss Art. 16 Abs. 2 WaG aus wichtigen Gründen unter Auflagen und Bedingungen bewilligt werden. Als solche Nutzungen gelten punktuelle oder unbedeutende Beanspruchungen von Waldboden für nichtforstliche Kleinbauten und -anlagen, die das Bestandesgefüge des Waldes nicht beeinträchtigen (E. 6.2). Bei den geplanten Probebohrungen handelt es sich um eine die Funktionen des Waldes zumindest temporär beeinträchtigende nachteilige Nutzung, welche eine kantonale Ausnahmebewilligung nach Art. 16 Abs. 2 WaG erfordert (E. 6.3).</w:t>
      </w:r>
    </w:p>
    <w:p>
      <w:r>
        <w:t>Regeste Obligation d'autorisation pour des sondages en zone forestière. Des sondages en zone forestière nécessitent une autorisation exceptionnelle au sens de l'art. 24 LAT lorsque le projet a de telles incidences spatiales et sur l'environnement qu'il existe pour le public et les voisins un intérêt à un contrôle préalable. Sont notamment d'importance significative pour l'évaluation des effets sur le territoire, la nature et la sensibilité du lieu dans lequel le projet est prévu. Compte tenu de l'emplacement particulier en zone de forêt, les effets négatifs du sondage litigieux sur les environs doivent être qualifiés de graves, si bien qu'une autorisation en vertu de l'art. 24 LAT est nécessaire (consid. 5.2 et 5.3). En cas d'exploitation préjudiciable à la forêt qui ne constitue pas un défrichement, les cantons peuvent, si des raisons importantes le justifient, délivrer des autorisations en vertu de l'art. 16 al. 2 LFo en imposant des conditions et des charges. Est réputée comme telle exploitation l'utilisation ponctuelle ou négligeable du sol forestier pour de petites constructions ou installations non forestières qui ne portent pas atteinte à la structure de l'aire forestière (consid. 6.2). S'agissant des forages prévus, ils constituent une exploitation qui perturbe à tout le moins temporairement les fonctions de la forêt, ce qui nécessite une autorisation exceptionnelle au sens de l'art. 16 al. 2 LFo (consid. 6.3).</w:t>
      </w:r>
    </w:p>
    <w:p>
      <w:r>
        <w:t>Regesto Obbligo di autorizzazione per prove di trivellazione nell'area boschiva. Prove di trivellazione nell'area boschiva necessitano di un'autorizzazione eccezionale ai sensi dell'art. 24 LPT quando il progetto comporta effetti così importanti sullo territorio e sull'ambiente, che è dato un interesse del pubblico o dei vicini a un controllo preventivo. Sono d'importanza significativa per la valutazione delle incidenze sul territorio in particolare la natura e la sensibilità del luogo e dei dintorni in cui è prevista la realizzazione del progetto. Vista la particolare ubicazione nella foresta, gli effetti negativi legati alle trivellazioni in concreto devono essere considerati così importanti da esigere un obbligo di autorizzazione secondo l'art. 24 LPT (consid. 5.2 e 5.3). Utilizzazioni pregiudizievoli per il bosco, che non costituiscono dissodamenti, possono essere autorizzate dai Cantoni giusta l'art. 16 cpv. 2 LFo per motivi gravi, imponendo oneri e condizioni. Tali utilizzazioni comprendono sfruttamenti puntuali o trascurabili del suolo boschivo per costruzioni e impianti non forestali di piccole dimensioni, che non pregiudicano la struttura dell'area boschiva (consid. 6.2). I sondaggi previsti costituiscono un'utilizzazione nociva che pregiudica almeno temporaneamente le funzioni forestali e che esige un'autorizzazione cantonale eccezionale secondo l'art. 16 cpv. 2 LFo (consid. 6.3).</w:t>
      </w:r>
    </w:p>
    <w:p>
      <w:pPr>
        <w:pStyle w:val="Heading2"/>
      </w:pPr>
      <w:r>
        <w:t>Erwägungen</w:t>
      </w:r>
    </w:p>
    <w:p>
      <w:r>
        <w:rPr>
          <w:b/>
        </w:rPr>
        <w:t>E. 5.1</w:t>
      </w:r>
    </w:p>
    <w:p>
      <w:r>
        <w:t>Die Baubewilligungspflicht betreffend hat die Vorinstanz erwogen, die geplanten Probebohrungen seien auf eine Fläche von unter 100 m 2 und auf eine Zeitdauer von vier Wochen beschränkt und hinterliessen kaum Spuren, da die Bohrlöcher nach dem Abschluss der Untersuchungen wieder aufzufüllen seien. Die räumlichen Auswirkungen der Probebohrungen seien nicht erheblich und gingen nicht über das hinaus, was der kantonale Gesetzgeber als baubewilligungsfrei erachte. Keiner Baubewilligung bedürften namentlich BGE 139 II 134 S. 139 Fahrnisbauten wie beispielsweise Festhütten oder Zelte bis zu einer Dauer von zwei Monaten (§ 30 Abs. 2 lit. d der aargauischen Bauverordnung vom 25. Mai 2011 [BauV/AG; SAR 713.121]);ebenso seien Erdsonden in der Regel baubewilligungsfrei, sofern die gewässerschutzrechtliche Bewilligung vorliege (§ 30 Abs. 2 lit. e BauV/AG). Die aus den Probebohrungen resultierenden Immissionen und die sich daraus ergebende Beschränkung der Befahrbarkeit der Waldstrassen genügten nicht für die Bejahung der Baubewilligungspflicht. So führten beispielsweise auch Renovationsarbeiten im Gebäudeinnern regelmässig zu störenden Immissionen und Behinderungen durch abgestellte Handwerkerfahrzeuge oder durch temporär gelagertes Baumaterial, ohne dass sie deswegen bewilligungspflichtig wären. Nicht entscheidend ins Gewicht falle, dass die Probebohrungen im Perimeter des BLN-Objekts Nr. 1'108 (Aargauer Tafeljura) und im Wald geplant seien. Die Probebohrungen auf den Waldstrassen beeinträchtigten Natur und Landschaft nur unerheblich, und die Gesichtspunkte des Natur- und Landschaftsschutzes seien in einem späteren Zeitpunkt, nämlich beim Entscheid, ob die planerischen Grundlagen für den Abbau von Kalk und Mergel geschaffen werden sollten, vertieft zu würdigen. Zusammenfassend seien die räumlichen Auswirkungen der beabsichtigten Probebohrungen nicht derart bedeutungsvoll, dass sie einer vorgängigen Kontrolle im Baubewilligungsverfahren bedürften.</w:t>
      </w:r>
    </w:p>
    <w:p>
      <w:r>
        <w:rPr>
          <w:b/>
        </w:rPr>
        <w:t>E. 5.2</w:t>
      </w:r>
    </w:p>
    <w:p>
      <w:r>
        <w:t>Die Probebohrungen sind im Waldgebiet geplant und dienen keinem forstwirtschaftlichen Zweck. In Frage steht daher die Erforderlichkeit einer Ausnahmebewilligung nach Art. 24 RPG . Dem in Art. 24 RPG verwendeten Bauten- und Anlagenbegriff liegt das Verständnis von Art. 22 RPG zugrunde, d.h. die Anwendung von Art. 24 RPG setzt das Vorliegen einer baubewilligungspflichtigen Baute oder Anlage gemäss Art. 22 Abs. 1 RPG voraus. Bauten und Anlagen gemäss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BGE 139 II 134 S. 140 Öffentlichkeit oder der Nachbarn an einer vorgängigen Kontrolle besteht ( BGE 120 Ib 379 E. 3c S. 383 mit Hinweisen). Die Baubewilligungspflicht soll es mithin der Behörde ermöglichen, das Bauprojekt in Bezug auf seine räumlichen Folgen vor seiner Ausführung auf die Übereinstimmung mit der raumplanerischen Nutzungsordnung und der übrigen einschlägigen Gesetzgebung zu überprüfen ( BGE 123 II 256 E. 3 S. 259). Als Bauten gelten nach der bundesgerichtlichen Praxis auch Fahrnisbauten, welche über nicht unerhebliche Zeiträume ortsfest verwendet werden. Diese Voraussetzungen sind für vorbereitende Handlungen zu einem die Umwelt belastenden Werk jedenfalls dann als erfüllt anzusehen, wenn sie ein für die Orts- oder Regionalplanung erhebliches Ausmass annehmen, wie dies das Bundesgericht für rund zwölf Monate dauernde Probebohrungen zur Abklärung eines Standorts für die Lagerung radioaktiver Abfälle angenommen hat ( BGE 111 Ib 102 E. 6 S. 109). Für geotechnische Untersuchungen dürften die genannten Voraussetzungen erfüllt sein, wenn die damit verbundenen Terrainveränderungen zu beträchtlichen Eingriffen in die Umwelt führen und während längerer Zeit sichtbar bleiben (im Ergebnis offengelassen in BGE 118 Ib 1 E. 2c S. 9). Der Baubewilligungspflicht können indes auch blosse Nutzungsänderungen unterstehen, die zwar keine massgeblichen Terrainveränderungen bewirken, aber erhebliche Auswirkungen auf die Umwelt haben (vgl. BGE 119 Ib 222 E. 3a S. 226 bez. eines Hängegleiterlandeplatzes). Nicht bewilligungspflichtig sind nach Art. 22 Abs. 1 RPG Kleinvorhaben, die nur ein geringes Ausmass haben und weder öffentliche noch nachbarliche Interessen berühren. Darunter fallen zum Beispiel bauliche Veränderungen im Innern von Gebäuden oder für kurze Zeit aufgestellte Zelte oder Wohnwagen. Wesentlich für die Frage, ob eine Kleinbaute der Bewilligungspflicht untersteht oder nicht, sind die Art und die Empfindlichkeit der Umgebung, in welcher das Vorhaben realisiert werden soll (vgl. hierzu und zum Ganzen ANDREAS BAUMANN, Das Baubewilligungsverfahren nach aargauischem Recht, 2007, S. 46 ff., insb. 50).</w:t>
      </w:r>
    </w:p>
    <w:p>
      <w:r>
        <w:rPr>
          <w:b/>
        </w:rPr>
        <w:t>E. 5.3</w:t>
      </w:r>
    </w:p>
    <w:p>
      <w:r>
        <w:t>Nach der bundesgerichtlichen Rechtsprechung hängt die Bewilligungspflicht von Probebohrungen folglich von deren konkreten räumlichen Auswirkungen im Einzelfall ab ( BGE 118 Ib 1 E. 2c S. 9; zur Kasuistik vgl. auch WALDMANN/HÄNNI, Raumplanungsgesetz, Handkommentar, 2006, N. 15 zu Art. 22; CHRISTIAN MÄDER, Das Baubewilligungsverfahren, 1991, S. 90 f.). Entscheidend ist nach dem BGE 139 II 134 S. 141 Gesagten, ob die Probebohrungen so gewichtige Auswirkungen auf Raum und Umwelt haben, dass ein Interesse der Öffentlichkeit oder der Nachbarn an einer vorgängigen Kontrolle besteht; von massgeblicher Bedeutung für die Beurteilung der räumlichen Folgen sind insbesondere auch die Art und die Empfindlichkeit der Umgebung. Der geplante Standort der Probebohrungen in Effingen befindet sich ausserhalb der Bauzone im Wald im Perimeter des BLN-Objekts Nr. 1'108 (Aargauer Tafeljura) und liegt in einem besonders gefährdeten Gewässerschutzbereich (vgl. insoweit Art. 32 Abs. 2 lit. f i.V.m. Art. 29 GSchV [SR 814.201] und Art. 19 Abs. 2 GSchG [SR 814.20]; vgl. ferner die Sondierbohrbewilligung der Abteilung für Umwelt des BVU/AG vom 22. März 2007). Damit aber unterscheidet sich der zu beurteilende Fall massgeblich von den von der Vorinstanz angeführten Vergleichsbeispielen. Der Anwendungsbereich von § 30 Abs. 2 BauV/AG ist ausdrücklich auf Bauzonen beschränkt. Ausserhalb der Bauzonen hingegen ist namentlich die Installation von Erdsonden bewilligungspflichtig, d.h. es bedarf hierfür einer Ausnahmebewilligung nach Art. 24 RPG . Auch die von der Vorinstanz erwähnten Renovationsarbeiten im Gebäudeinnern betreffen in aller Regel Gebäude im Baugebiet, sodass hier die räumlichen Folgen bzw. die Auswirkungen auf die Umgebung deutlich geringer sind als bei Probebohrungen im Wald. Die geplanten Probebohrungen nehmen zwar eine verhältnismässig geringe Waldfläche von unter 100 m 2 in Anspruch und erstrecken sich über eine relativ kurze Zeitdauer von maximal vier Wochen. Dennoch sind die Auswirkungen erheblich, da neben dem benötigten Bohrgerät eine Notstromgruppe, ein Spülwasserbecken und ein Rohrlager angeliefert, installiert, betrieben und wieder abtransportiert werden müssen. Damit ist gleichzeitig gesagt, dass die Auswirkungen nicht auf den eigentlichen Standort beschränkt bleiben. Vielmehr tangieren die mutmasslich rund 200 Hin- und Rückfahrten durch den Wald auch übriges Waldgebiet, wobei die genaue Anzahl und der Zeitpunkt der Fahrten sowie die zu wählende Route bislang noch nicht verbindlich festgelegt sind. Angesichts des besonderen Standorts - Waldgebiet, BLN-Objekt und besonders gefährdeter Gewässerschutzbereich - sind die mit den Probebohrungen verbundenen negativen Auswirkungen auf die Umgebung im Ergebnis als so erheblich einzustufen, dass das Bauvorhaben einer Ausnahmebewilligung nach Art. 24 RPG bedarf. BGE 139 II 134 S. 142</w:t>
      </w:r>
    </w:p>
    <w:p>
      <w:r>
        <w:rPr>
          <w:b/>
        </w:rPr>
        <w:t>E. 6.1</w:t>
      </w:r>
    </w:p>
    <w:p>
      <w:r>
        <w:t>Die Abteilung für Baubewilligungen des BVU/AG stellte mit Entscheid vom 23. Februar 2011 fest (vgl. Sachverhalt lit. B. hiervor), für die Probebohrungen sei keine Ausnahmebewilligung für eine Rodung erforderlich (vgl. Art. 5 des Waldgesetzes vom 4. Oktober 1991 [WaG; SR 921.0] und Art. 4 der Waldverordnung vom 30. November 1992 [WaV; SR 921.01]), und bei den Probebohrungen handle es sich auch nicht um eine nachteilige Nutzung des Waldes, für welche eine Ausnahmebewilligung notwendig wäre (vgl. Art. 16 WaG ). Die Vorinstanz hat diese Einschätzung im angefochtenen Urteil bestätigt und in ihrer Begründung unter Bezugnahme auf die Erwägungen des Regierungsrats ausgeführt, die Probebohrungen beschränkten sich auf das Gebiet von Waldstrassen. Deren Zweckentfremdung sei mit maximal vier Wochen kurz befristet. Die auf die Waldbewirtschaftung mit grossen und schweren Fahrzeugen ausgelegten Waldstrassen vermöchten die mit den Probebohrungen verbundenen Fahrten schadlos zu bewältigen, und die Funktion der Waldstrassen als forstliche Anlagen bleibe auf Dauer erhalten. Der Umstand, dass die Waldweggabelung während eines Monats nicht oder nur erschwert mit zweispurigen Fahrzeugen befahrbar sei, schränke die Produktionsfähigkeit des angrenzenden Waldbodens nicht ein. Auch das Wild werde durch die Bohrarbeiten samt den damit verbundenen Fahrten mutmasslich nicht stärker gestört als durch ordentliche Forstarbeiten. Insbesondere sei damit zu rechnen, dass das Wild die Umgebung der Bohrstelle nur vorübergehend meide und nicht dauerhaft vertrieben werde. Ebenfalls nur geringfügig beeinträchtigt sei schliesslich die Erholungsfunktion des Waldes. Bei dieser Ausgangslage sei für die Probebohrungen keine Rodungsbewilligung gemäss Art. 5 WaG notwendig. Ebenso wenig sei eine Ausnahmebewilligung für eine nachteilige (Wald-)Nutzung nach Art. 16 WaG bzw. § 13 AWaG/AG erforderlich, da die Funktion und die Bewirtschaftung des Waldes weder gefährdet noch relevant beeinträchtigt würden.</w:t>
      </w:r>
    </w:p>
    <w:p>
      <w:r>
        <w:rPr>
          <w:b/>
        </w:rPr>
        <w:t>E. 6.2</w:t>
      </w:r>
    </w:p>
    <w:p>
      <w:r>
        <w:t>Das Waldgesetz bezweckt die Erhaltung und den Schutz des Waldes, soll dafür sorgen, dass der Wald seine Funktionen erfüllen kann, und die Waldwirtschaft fördern und erhalten ( Art. 1 Abs. 1 WaG ). Als Wald gelten auch Waldstrassen ( Art. 2 Abs. 2 lit. b WaG ). Bauvorhaben, die den Waldboden dauernd oder vorübergehend zweckentfremden, bedürfen einer Rodungsbewilligung ( Art. 4 WaG ). Rodungen sind grundsätzlich verboten (vgl. Art. 5 Abs. 1 WaG ). Eine BGE 139 II 134 S. 143 Ausnahmebewilligung darf gemäss Art. 5 Abs. 2 WaG erteilt werden, wenn der Gesuchsteller nachweist, dass für die Rodung wichtige Gründe bestehen, die das Interesse an der Walderhaltung überwiegen und zudem die folgenden Voraussetzungen erfüllt sind: das Werk, für das gerodet werden soll, muss auf den vorgesehenen Standort angewiesen sein (lit. a); das Werk muss die Voraussetzungen der Raumplanung sachlich erfüllen (lit. b); die Rodung darf zu keiner erheblichen Gefährdung der Umwelt führen (lit. c). Die Erteilung einer Rodungsbewilligung befreit nicht von der Einholung einer Baubewilligung nach Art. 22 oder 24 RPG (vgl. Art. 11 Abs. 1 WaG ). Die Beanspruchung von Waldboden für forstliche Bauten und Anlagen sowie für nichtforstliche Kleinbauten und -anlagen gilt nach Art. 4 lit. a WaV nicht als Rodung und stellt somit keine Zweckentfremdung des Waldes dar. Umgekehrt folgt daraus, dass nichtforstliche Bauvorhaben, ausgenommen Kleinbauten und -anlagen, als eine Zweckentfremdung des Waldes zu betrachten sind. Sie bedürfen deshalb einer Rodungsbewilligung und, wie die forstlichen Bauvorhaben, immer auch einer Baubewilligung nach RPG. Für den Wald nachteilige Nutzungen, die keine Rodung darstellen, sind grundsätzlich unzulässig, dürfen aber von den Kantonen aus wichtigen Gründen unter Auflagen und Bedingungen bewilligt werden ( Art. 16 WaG ). Als solche Nutzungen gelten punktuelle oder unbedeutende Beanspruchungen von Waldboden für nichtforstliche Kleinbauten und -anlagen, wie bescheidene Rastplätze, Feuerstellen, Sport- und Lehrpfade, erdverlegte Leitungen und Kleinantennenanlagen, die das Bestandesgefüge des Waldes nicht beeinträchtigen (Botschaft des Bundesrats vom 29. Juni 1988 zum WaG, BBl 1988 III 191). Die nichtforstlichen Kleinbauten und -anlagen benötigen somit zwar keine Rodungsbewilligung, weil sie den Wald nicht geradezu zweckentfremden. Da sie für diesen jedoch nachteilig sind, bedürfen sie einer Ausnahmebewilligung des Kantons und, weil sie als nachteilige Nutzungen dem Zweck des Waldes jedenfalls nicht ganz entsprechen, einer Baubewilligung nach Art. 24 RPG . Die Beurteilung, ob eine nichtforstliche Kleinbaute vorliegt, hat in erster Linie mit Blick auf den Umfang und die Intensität des beanspruchten Waldbodens zu erfolgen, wobei ein strenger Massstab anzusetzen ist, damit der Zweck der Waldgesetzgebung, namentlich die Erhaltung des Waldbestands, nicht weitgehend in Frage gestellt wird (vgl. STEFAN M. JAISSLE, Der dynamische Waldbegriff und die Raumplanung, 1994, S. 136). Weist eine Baute eine derartige Grösse auf, BGE 139 II 134 S. 144 dass von einer punktuellen oder unbedeutenden Beanspruchung des Waldbodens nicht mehr gesprochen werden kann, lässt sie sich bereits aus diesem Grund nicht mehr unter den Begriff der "Kleinbaute" im Sinne von Art. 4 lit. a WaV subsumieren. Geht eine Baute allein unter dem Gesichtspunkt ihrer flächenmässigen Ausdehnung nicht über die genannte Beanspruchung hinaus, folgt daraus jedoch nicht zwingend, dass sie als Kleinbaute einzustufen ist. Vielmehr ist in einem solchen Fall weiter zu prüfen, ob ihr Zweck auch den Einbezug eines gewissen Umschwungs bedingt und wie intensiv die Nutzung in diesem Bereich ist. Ob eine Baute oder Anlage als nichtforstliche Kleinbaute oder -anlage im Sinne der Waldgesetzgebung in Betracht fällt, ist somit in jedem Einzelfall anhand der gesamten Umstände zu prüfen (Urteil 1A.32/2004 vom 30. September 2004 E. 3.1; in: Pra 2005 Nr. 87 S. 645).</w:t>
      </w:r>
    </w:p>
    <w:p>
      <w:r>
        <w:rPr>
          <w:b/>
        </w:rPr>
        <w:t>E. 6.3</w:t>
      </w:r>
    </w:p>
    <w:p>
      <w:r>
        <w:t>Die geplanten Probebohrungen dienen keinem forstwirtschaftlichen Zweck und stellen damit eine Zweckentfremdung der Waldstrassen als Waldboden dar. Hiervon geht im Übrigen auch die Vorinstanz aus. Eine einmalige, kurzfristige und punktuelle Beanspruchung von Waldboden (wie etwa durch das Skifahren abseits der Piste) darf mit Blick auf den zeitlichen Faktor noch nicht als vorübergehende Zweckentfremdung angesehen werden (vgl. JAISSLE, a.a.O., S. 115 Fn. 5). Bei einer Beanspruchung des Waldbodens während einer Zeitdauer von vier Wochen ist das Merkmal "vorübergehend" hingegen erfüllt. Damit liegt grundsätzlich eine vorübergehende Zweckentfremdung des Waldbodens im Sinne von Art. 4 WaG vor. Indes gilt die Beanspruchung von Waldboden für nichtforstliche Kleinbauten und -anlagen gemäss Art. 4 lit. a WaV nicht als Rodung. Auf der Basis der beispielhaften Aufzählung in der bundesrätlichen Botschaft, wonach etwa erdverlegte Leitungen und Kleinantennenanlagen nicht als Rodung gelten, und in Anbetracht dessen, dass vorliegend die beanspruchte Waldbodenfläche weniger als 100 m 2 beträgt und die Nutzungsdauer auf maximal vier Wochen beschränkt ist, ist bei den geplanten Probebohrungen von einer punktuellen Beanspruchung des Waldbodens auszugehen, welche das Bestandesgefüge des Waldes nicht tangiert und daher keiner Rodungsbewilligung nach Art. 5 Abs. 2 WaG bedarf. Allerdings machen die Probebohrungen, wie dargelegt, die Anlieferung, die Installation, den Betrieb und den Abtransport von Bohrgerät, einer Notstromgruppe, eines Spülwasserbeckens und eines Rohrlagers sowie mutmasslich rund 200 Hin- und Rückfahrten durch das Waldgebiet notwendig. BGE 139 II 134 S. 145 Aufgrund dieser mit dem Vorhaben verbundenen negativen Auswirkungen auf die Umgebung handelt es sich um eine die Funktionen des Waldes zumindest temporär beeinträchtigende nachteilige Nutzung im Sinne von Art. 16 Abs. 1 WaG . Eine solche erfordert eine kantonale Ausnahmebewilligung, deren Erteilung gemäss Art. 16 Abs. 2 WaG an das Vorliegen wichtiger Gründe geknüpft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