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444</w:t>
      </w:r>
    </w:p>
    <w:p>
      <w:r>
        <w:t>Bundesgericht (BGE), 2013-08-12, FR</w:t>
      </w:r>
    </w:p>
    <w:p>
      <w:r>
        <w:rPr>
          <w:b/>
        </w:rPr>
        <w:t xml:space="preserve">Quelle: </w:t>
      </w:r>
      <w:r>
        <w:t>https://mcp.opencaselaw.ch/entscheid/bge_BGE_139_III_444</w:t>
      </w:r>
    </w:p>
    <w:p>
      <w:r>
        <w:t>FR: ATF 139 III 444</w:t>
      </w:r>
    </w:p>
    <w:p>
      <w:r>
        <w:t>IT: DTF 139 III 444</w:t>
      </w:r>
    </w:p>
    <w:p>
      <w:pPr>
        <w:pStyle w:val="Heading2"/>
      </w:pPr>
      <w:r>
        <w:t>Regeste</w:t>
      </w:r>
    </w:p>
    <w:p>
      <w:r>
        <w:t>Regeste Art. 80 ff. SchKG; Prüfungsbefugnis des Rechtsöffnungsrichters. Der mit einem Rechtsöffnungsgesuch befasste Richter ist nicht zur Prüfung zuständig, ob die strittige Betreibung unzulässig sei, weil der Betreibende bereits eine oder mehrere Betreibungen für die gleiche Forderung eingeleitet hat (E. 4).</w:t>
      </w:r>
    </w:p>
    <w:p>
      <w:r>
        <w:t>Regeste Art. 80 ss LP; pouvoir d'examen du juge de la mainlevée. Le juge saisi d'une requête de mainlevée d'opposition n'est pas compétent pour examiner si la poursuite litigieuse est viciée du fait que le poursuivant a déjà introduit une ou plusieurs poursuites pour la même créance (consid. 4).</w:t>
      </w:r>
    </w:p>
    <w:p>
      <w:r>
        <w:t>Regesto Art. 80 segg. LEF; potere d'esame del giudice del rigetto dell'opposizione. Il giudice adito con un'istanza di rigetto dell'opposizione non è competente per esaminare se l'esecuzione litigiosa sia viziata dal fatto che il procedente ha già promosso una o più esecuzioni per lo stesso credito (consid. 4).</w:t>
      </w:r>
    </w:p>
    <w:p>
      <w:pPr>
        <w:pStyle w:val="Heading2"/>
      </w:pPr>
      <w:r>
        <w:t>Erwägungen</w:t>
      </w:r>
    </w:p>
    <w:p>
      <w:r>
        <w:rPr>
          <w:b/>
        </w:rPr>
        <w:t>E. 4</w:t>
      </w:r>
    </w:p>
    <w:p>
      <w:r>
        <w:t>Saisi d'un recours en matière civile,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w:t>
      </w:r>
    </w:p>
    <w:p>
      <w:r>
        <w:rPr>
          <w:b/>
        </w:rPr>
        <w:t>E. 4.1</w:t>
      </w:r>
    </w:p>
    <w:p>
      <w:r>
        <w:t>Selon le système de la LP, l'énumération des tâches du juge est limitative: celui-ci ne peut intervenir dans la procédure de poursuite que dans les cas où la loi le prévoit expressément ( art. 17 al. 1 et art. 23 LP ); en dehors de ces cas-là, toute intervention du juge dans la procédure de poursuite est donc exclue ( ATF 95 I 313 consid. 3 et la référence).</w:t>
      </w:r>
    </w:p>
    <w:p>
      <w:r>
        <w:rPr>
          <w:b/>
        </w:rPr>
        <w:t>E. 4.1.1</w:t>
      </w:r>
    </w:p>
    <w:p>
      <w:r>
        <w:t>La levée de l'opposition du débiteur au commandement de payer est de la compétence du juge ( art. 80 ss LP ). En vertu des art. 80 et 81 LP ,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En vertu de l' art. 82 LP , le juge doit prononcer la mainlevée provisoire de l'opposition lorsque le créancier produit une reconnaissance de dette et que le débiteur ne rend pas immédiatement vraisemblable sa libération. La procédure de mainlevée est une pure procédure d'exécution forcée ( ATF 94 I 365 consid. 6 p. 373; 72 II 52 p. 54), un incident de la poursuite: le juge n'est compétent que pour examiner le jugement exécutoire ou les titres y assimilés dans le cas d'une requête de mainlevée définitive, respectivement le titre - public ou privé - qu'est la reconnaissance de dette dans le cas d'une requête de mainlevée provisoire, ainsi que les trois identités: l'identité entre le poursuivant et le créancier désigné dans ce titre, l'identité entre le poursuivi et le débiteur désigné et l'identité entre la prétention déduite en poursuite et la dette reconnue (pour la mainlevée provisoire: ATF 132 III 140 consid. 4.1.1; P.-R. GILLIÉRON, Commentaire de la loi fédérale sur BGE 139 III 444 S. 447 la poursuite pour dettes et la faillite, vol. I, 1999, n os 73 s. ad art. 82 LP ; pour la mainlevée définitive: arrêt 5P.239/2002 du 22 août 2002 consid. 3.1; GILLIÉRON, op. cit., n° 22 ad art. 80 LP ) et enfin statuer sur le droit du créancier de poursuivre le débiteur, c'est-à-dire décider si l'opposition doit ou ne doit pas être maintenue. Il peut également examiner d'office si la poursuite est à l'évidence périmée ou nulle (arrêt 5P.174/2005 du 7 octobre 2005 consid. 2.1; PANCHAUD/CAPREZ, Die Rechtsöffnung, La mainlevée d'opposition, 1980, § 43 n. 1-5 p. 96; GILLIÉRON, op. cit., n° 27 ad art. 80 LP ). En revanche, il ne peut pas relever, ni retenir un vice de la procédure de poursuite dont l'intéressé doit se prévaloir par la voie de la plainte à l'autorité de surveillance (arrêt précité consid. 2.1; GILLIÉRON, op. cit., n° 76 ad art. 82 LP ).</w:t>
      </w:r>
    </w:p>
    <w:p>
      <w:r>
        <w:rPr>
          <w:b/>
        </w:rPr>
        <w:t>E. 4.1.2</w:t>
      </w:r>
    </w:p>
    <w:p>
      <w:r>
        <w:t>Lorsque le poursuivant introduit plusieurs poursuites pour la même créance, le débiteur qui entend empêcher que celui-ci ne s'en prenne plusieurs fois à son patrimoine peut faire annuler par la voie de la plainte à l'autorité de surveillance la ou les poursuites superflues ( ATF 100 III 41 p. 42 et 43; ATF 128 III 383 consid. 1.1; GILLIÉRON, op. cit., n° 51 ad art. 85a LP ). Ainsi, saisi d'un recours ( art. 19 LP ) contre une décision, rendue sur plainte ( art. 17 et 18 LP ), concernant la notification d'un second commandement de payer, le Tribunal fédéral a jugé qu'une seconde poursuite pour la même créance n'est inadmissible que si, dans la première poursuite, le créancier a déjà requis la continuation de la poursuite ou est en droit de le faire. Ce n'est en effet que dans ces cas qu'il y a un risque sérieux que le patrimoine du débiteur fasse l'objet d'une exécution à plusieurs reprises. En revanche, si la première poursuite a été arrêtée à la suite d'une opposition ou qu'elle est devenue caduque en raison d'une renonciation du créancier, il n'y a pas de motif d'empêcher ce dernier d'engager une nouvelle poursuite pour la même créance.</w:t>
      </w:r>
    </w:p>
    <w:p>
      <w:r>
        <w:rPr>
          <w:b/>
        </w:rPr>
        <w:t>E. 4.1.3</w:t>
      </w:r>
    </w:p>
    <w:p>
      <w:r>
        <w:t>Il ressort de ce qui précède que le juge de la mainlevée n'est compétent que pour l'examen de l'existence d'un titre à mainlevée - définitive ou provisoire -, alors que l'office et les autorités de surveillance le sont pour ce qui concerne l'exécution de la poursuite, en particulier l'abus de droit du créancier à obtenir la saisie de plus de biens qu'il n'est nécessaire pour être désintéressé (cf. art. 97 al. 2 LP ).</w:t>
      </w:r>
    </w:p>
    <w:p>
      <w:r>
        <w:rPr>
          <w:b/>
        </w:rPr>
        <w:t>E. 4.2</w:t>
      </w:r>
    </w:p>
    <w:p>
      <w:r>
        <w:t>C'est ainsi en violation des règles sur les compétences respectives du juge de la mainlevée et de l'autorité de surveillance LP que la cour cantonale a examiné, dans le cadre de la présente procédure BGE 139 III 444 S. 448 de mainlevée définitive, si la seconde poursuite - à supposer qu'elle concerne la même créance - était ou non admissible. Dès lors qu'en l'espèce, le créancier avait produit un titre exécutoire, ce qui n'est pas contesté, et que le débiteur ne soutenait pas avoir payé sa dette ( art. 81 al. 1 LP ), la mainlevée définitive devait être prononcée. Le recours du débiteur doit donc être rejeté, par substitution de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