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288</w:t>
      </w:r>
    </w:p>
    <w:p>
      <w:r>
        <w:t>Bundesgericht (BGE), 2013-05-22, DE</w:t>
      </w:r>
    </w:p>
    <w:p>
      <w:r>
        <w:rPr>
          <w:b/>
        </w:rPr>
        <w:t xml:space="preserve">Quelle: </w:t>
      </w:r>
      <w:r>
        <w:t>https://mcp.opencaselaw.ch/entscheid/bge_BGE_139_III_288</w:t>
      </w:r>
    </w:p>
    <w:p>
      <w:r>
        <w:t>FR: ATF 139 III 288</w:t>
      </w:r>
    </w:p>
    <w:p>
      <w:r>
        <w:t>IT: DTF 139 III 288</w:t>
      </w:r>
    </w:p>
    <w:p>
      <w:pPr>
        <w:pStyle w:val="Heading2"/>
      </w:pPr>
      <w:r>
        <w:t>Regeste</w:t>
      </w:r>
    </w:p>
    <w:p>
      <w:r>
        <w:t>Regeste Art. 43 Abs. 1 SchKG; Ausnahmen von der Konkursbetreibung. Die Betreibung der Stiftung Auffangeinrichtung BVG für Arbeitgeberbeiträge fällt nicht unter Art. 43 Abs. 1 SchKG und kann daher auf dem Weg des Konkurses fortgesetzt werden (Bestätigung der Rechtsprechung; E. 2).</w:t>
      </w:r>
    </w:p>
    <w:p>
      <w:r>
        <w:t>Regeste Art. 43 al. 1 LP; exceptions à la poursuite par voie de faillite. La poursuite de la Fondation institution supplétive LPP pour les contributions de l'employeur ne tombe pas sous le coup de l'art. 43 al. 1 LP, en sorte qu'elle peut être continuée par voie de faillite (confirmation de jurisprudence; consid. 2).</w:t>
      </w:r>
    </w:p>
    <w:p>
      <w:r>
        <w:t>Regesto Art. 43 cpv. 1 LEF; eccezioni all'esecuzione in via di fallimento. L'art. 43 cpv. 1 LEF non si applica all'esecuzione promossa dalla Fondazione istituto collettore LPP per i contributi del datore di lavoro e tale esecuzione può pertanto essere continuata in via di fallimento (conferma della giurisprudenza; consid. 2).</w:t>
      </w:r>
    </w:p>
    <w:p>
      <w:pPr>
        <w:pStyle w:val="Heading2"/>
      </w:pPr>
      <w:r>
        <w:t>Erwägungen</w:t>
      </w:r>
    </w:p>
    <w:p>
      <w:r>
        <w:rPr>
          <w:b/>
        </w:rPr>
        <w:t>E. 2</w:t>
      </w:r>
    </w:p>
    <w:p>
      <w:r>
        <w:t>Anlass zur vorliegenden Beschwerde gibt die Konkursandrohung in der angehobenen Betreibung. Es steht ausser Frage, dass BGE 139 III 288 S. 290 das Begehren zur Fortsetzung der Betreibung fristgemäss ist, sich auf einen rechtskräftigen Zahlungsbefehl stützt und gegen eine im Handelsregister (als GmbH) eingetragene Schuldnerin richtet (vgl. Art. 39 Abs. 1 Ziff. 8 und Art. 88 SchKG ). Einziger Streitpunkt ist, ob eine Ausnahme von der Konkursbetreibung im Sinne von Art. 43 Ziff. 1 SchKG vorliegt. Nach Auffassung der Beschwerdeführerin rechtfertigt die privatrechtliche Rechtsform der Beschwerdegegnerin nicht, für die in Frage stehende Forderung die Ausnahme von der Konkursbetreibung zu verneinen. Zu prüfen ist, auf welchem Weg die Zwangsvollstreckung für Beitragsforderungen der Stiftung Auffangeinrichtung BVG durchzuführen ist.</w:t>
      </w:r>
    </w:p>
    <w:p>
      <w:r>
        <w:rPr>
          <w:b/>
        </w:rPr>
        <w:t>E. 2.1</w:t>
      </w:r>
    </w:p>
    <w:p>
      <w:r>
        <w:t>Gemäss Art. 43 SchKG ist die Konkursbetreibung in jedem Fall ausgeschlossen für (erstens) Steuern, Abgaben, Gebühren, Sporteln, Bussen und andere im öffentlichen Recht begründete Leistungen (zweitens) an öffentliche Kassen oder an Beamte (Ziff. 1). Nach der Rechtsprechung müssen zwei Voraussetzungen kumulativ erfüllt sein, damit sich ein Schuldner auf diese Bestimmung berufen kann: Einerseits muss die Forderung ihren Rechtsgrund im öffentlichen Recht haben, und andererseits muss der Gläubiger eine Anstalt des öffentlichen Rechts, z.B. eine öffentlichrechtliche Körperschaft sein ( BGE 129 III 554 E. 3; BGE 125 III 250 E. 1 S. 251; BGE 118 III 13 E. 2 S. 14; vgl. bereits BGE 54 III 223 E. 2 S. 224).</w:t>
      </w:r>
    </w:p>
    <w:p>
      <w:r>
        <w:rPr>
          <w:b/>
        </w:rPr>
        <w:t>E. 2.1.1</w:t>
      </w:r>
    </w:p>
    <w:p>
      <w:r>
        <w:t>Dieser Vorschrift liegt der Gedanke zugrunde, dass ein Schuldner für öffentlichrechtliche Forderungen, die von der öffentlichen Hand betrieben werden, nicht der Generalexekution und damit der allgemeinen Liquidation seines Vermögens unterliegen soll ( BGE 77 III 37 S. 39); umgekehrt muss der öffentlichrechtliche Gläubiger dank der Ausnahme nicht mit den privaten Gläubigern konkurrieren (GILLIÉRON, Commentaire de la loi fédérale sur la poursuite pour dettes et la faillite, Bd. I, 1999, N. 27 f. zu Art. 43 SchKG mit Hinw.). Mit Art. 43 SchKG wird vom ordentlichen Vollstreckungsverfahren abgewichen, weshalb die systemwidrige Bestimmung nach ständiger Rechtsprechung eng ausgelegt wird ( BGE 118 III 13 E. 2 S. 14; BGE 94 III 65 E. 3 S. 71/72; GILLIÉRON, a.a.O., N. 10 zu Art. 43 SchKG mit Hinw.). Rechtssubjekte des Privatrechts (wie zur Durchführung der obligatorischen Krankenversicherung) fallen nicht unter die Ausnahmebestimmung ( BGE 125 III 250 E. 2 S. 251).</w:t>
      </w:r>
    </w:p>
    <w:p>
      <w:r>
        <w:rPr>
          <w:b/>
        </w:rPr>
        <w:t>E. 2.1.2</w:t>
      </w:r>
    </w:p>
    <w:p>
      <w:r>
        <w:t>Nach Auffassung in der Lehre vermag der Anwendungsbereich, insbesondere der Begriff der "öffentlichen Kasse" in der heutigen Zeit, in welcher öffentliche Aufgaben auch von privaten BGE 139 III 288 S. 291 Rechtsträgern ausgeführt werden, kaum (mehr) zu überzeugen. Als problematisch wird weiter erachtet, dass die privaten Rechtsträger oft zusammen mit der Festlegung des geschuldeten Betrages gleichzeitig die Rechtsöffnung verfügen können (hierzu KREN KOSTKIEWICZ/WALDER, SchKG Kommentar, 18. Aufl. 2012, N. 10 zu Art. 79 SchKG mit Hinw.). Aus diesen und weiteren Gründen wird die Aufhebung der Bestimmung bzw. eine Reform von Art. 43 SchKG vorgeschlagen (vgl. Kritik von ACOCELLA, in: Basler Kommentar, Bundesgesetz über Schuldbetreibung und Konkurs, Bd. I, 2. Aufl. 2010, N. 4a a.E. zu Art. 43 SchKG ; RIGOT, in: Commentaire romand, Poursuite et faillite, 2005, N. 16 zu Art. 43 SchKG ; REISER, Zu den Ausnahmen von der Konkursbetreibung gemäss Art. 43 SchKG , BlSchK 2005 S. 62, 65; KARLEN, Privilegien des Staates bei der Vollstreckung öffentlichrechtlicher Geldforderungen, in: Festschrift Spühler, 2005, S. 158).</w:t>
      </w:r>
    </w:p>
    <w:p>
      <w:r>
        <w:rPr>
          <w:b/>
        </w:rPr>
        <w:t>E. 2.2</w:t>
      </w:r>
    </w:p>
    <w:p>
      <w:r>
        <w:t>Der Beschwerdeführer stellt nicht in Frage, dass die Betreibungsforderung (Beiträge des Arbeitgebers für pflichtversicherte Arbeitnehmer gemäss BVG) "gesetzlich vorgeschrieben" ist bzw. ihren Rechtsgrund im öffentlichen Recht hat. Die Aufsichtsbehörde hat verneint, dass die Beschwerdegegnerin - als Auffangeinrichtung gemäss Art. 60 BVG - ein Rechtssubjekt des öffentlichen Rechts sei. Es handelt sich unstrittig um eine privatrechtliche Stiftung im Sinne von Art. 80 ff. ZGB . Die Vorinstanz hat (unter Hinw. auf ACOCELLA, a.a.O., N. 6 zu Art. 43 SchKG ) geschlossen, dass die Ausnahme gemäss Art. 43 SchKG nicht greife, und die Konkursandrohung bestätigt.</w:t>
      </w:r>
    </w:p>
    <w:p>
      <w:r>
        <w:rPr>
          <w:b/>
        </w:rPr>
        <w:t>E. 2.3</w:t>
      </w:r>
    </w:p>
    <w:p>
      <w:r>
        <w:t>Das Bundesgericht hat bereits in einem Urteil aus dem Jahr 1992 entschieden, dass ein Schuldner, welcher der Konkursbetreibung unterliegt, sich nicht auf Art. 43 SchKG berufen kann, wenn er zwecks Ablieferung von Arbeitgeberbeiträgen von der Stiftung Auffangeinrichtung BVG betrieben wird. Ausschlaggebend war die Rechtsnatur der Betreibungsgläubigerin als privatrechtliche Stiftung. Im Übrigen könne die Beschwerdegegnerin einen Rechtsvorschlag, den der Arbeitgeber in einer für die Beiträge eingeleiteten Betreibung erhoben hat, nicht selber beseitigen ( BGE 118 III 13 E. 3 S. 15). In diesem Punkt hat sich die Rechtslage allerdings geändert. Durch die Revision des BVG vom 3. Oktober 2003 (in Kraft seit dem 1. Januar 2005) sind die Verfügungen der Beschwerdegegnerin den vollstreckbaren Urteilen im Sinne von Art. 80 SchKG gleichgestellt worden ( Art. 60 Abs. 2 bis BVG ), und sie kann den Rechtsvorschlag BGE 139 III 288 S. 292 mit der Festsetzung des Beitrages im Verwaltungsverfahren selber beseitigen ( Art. 79 Abs. 1 SchKG ; BGE 134 III 115 E. 3.1 S. 120). Es rechtfertigt sich, die für die Beschwerdegegnerin massgebende bisherige Praxis ( BGE 118 III 13 ) zu überprüfen.</w:t>
      </w:r>
    </w:p>
    <w:p>
      <w:r>
        <w:rPr>
          <w:b/>
        </w:rPr>
        <w:t>E. 2.3.1</w:t>
      </w:r>
    </w:p>
    <w:p>
      <w:r>
        <w:t>Mit der parlamentarischen Initiative Baumgartner (98.411) wurde in den eidgenössischen Räten die Frage behandelt, ob sämtliche öffentlichrechtliche Forderungen von der Konkursbetreibung ausgenommen werden sollen, unabhängig davon, ob der Gläubiger eine öffentlich- oder privatrechtliche Person ist. Der entsprechende Vorschlag der Kommissionsminderheit (BBl 2002 7715) wurde jedoch nicht Gesetz. Entscheidend dafür war, dass eine derartige Privilegierung der öffentlichrechtlichen Forderungen zu Lasten der übrigen, insbesondere privatrechtlichen Gläubiger nicht gefördert werden soll (vgl. Bericht der Kommission für Rechtsfragen des Nationalrates vom 27. Mai 2002, BBl 2002 7107, 7112 Ziff. 3.1; Stellungnahme des Bundesrates vom 4. September 2002, BBl 2002 7116, 7118 Ziff. 2.2; AB 2003 N 825 f., Voten Thanei und Cina für die Kommission). Der Katalog der Ausnahmen in Art. 43 SchKG wurde durch die Änderung des SchKG vom 3. Oktober 2003 (in Kraft seit 1. Juli 2004) einzig für die Prämien der obligatorischen Unfallversicherung erweitert (Ziff. 1 bis ).</w:t>
      </w:r>
    </w:p>
    <w:p>
      <w:r>
        <w:rPr>
          <w:b/>
        </w:rPr>
        <w:t>E. 2.3.2</w:t>
      </w:r>
    </w:p>
    <w:p>
      <w:r>
        <w:t>Die Revision lässt klar erkennen, dass die Beseitigung der Ungleichbehandlung betreffend Betreibungsart auf die obligatorische Unfallversicherung, welche sowohl von der SUVA als "öffentlicher Kasse" als auch von den Privatversicherungen angeboten wird ( Art. 58 und 60 Abs. 1 UVG ), beschränkt wurde. Dass private Träger der obligatorischen Unfallversicherung den Rechtsvorschlag ebenso beseitigen können ( Art. 99 UVG i.V.m. Art. 54 Abs. 2 ATSG ; Urteil 8C_809/2011 vom 12. Dezember 2011 E. 2) wie z.B. diejenigen der obligatorischen Krankenversicherung ( BGE 119 V 323 E. 2b S. 331), bildete keinen Grund zur Erfassung anderer Bereiche. Vielmehr wurde im Rahmen der Revision festgehalten, dass die Prämien, welche der Arbeitgeber für die berufliche Vorsorge der gemäss BVG pflichtversicherten Arbeitnehmer zu zahlen hat, "namhafte Beträge" darstellen könnten. Hätten die privaten Vorsorgeeinrichtungen nicht mehr die Möglichkeit, zur Einforderung den Konkurs anzudrohen, so würde deren Position erheblich geschwächt und die Finanzierung der zweiten Säule gefährdet, weshalb sich die Erweiterung nicht aufdränge (Bericht der Kommission, a.a.O.). BGE 139 III 288 S. 293</w:t>
      </w:r>
    </w:p>
    <w:p>
      <w:r>
        <w:rPr>
          <w:b/>
        </w:rPr>
        <w:t>E. 2.3.3</w:t>
      </w:r>
    </w:p>
    <w:p>
      <w:r>
        <w:t>Das Begehren des Beschwerdeführers läuft darauf hinaus, auf dem Wege der Rechtsprechung den diskutierten, aber verworfenen parlamentarischen Gesetzesvorschlag einzuführen. Es gibt keinen Grund, über die vom Gesetz geforderten Voraussetzungen hinwegzusehen (vgl. Art. 190 BV ), wenn mit der Revision von 2003 die Vermeidung weitergehender Ungleichbehandlung zwischen (privaten und öffentlichrechtlichen) Forderungen (vgl. BGE 120 III 20 E. 2 S. 23) und die restriktive Auslegung von Art. 43 Ziff. 1 SchKG (vgl. BGE 125 III 250 E. 2 S. 252) bestätigt wurde.</w:t>
      </w:r>
    </w:p>
    <w:p>
      <w:r>
        <w:rPr>
          <w:b/>
        </w:rPr>
        <w:t>E. 2.4</w:t>
      </w:r>
    </w:p>
    <w:p>
      <w:r>
        <w:t>Nach dem Dargelegten ist mit Art. 43 Ziff. 1 SchKG vereinbar, wenn die Aufsichtsbehörde - wie es kantonaler Praxis entspricht (Revue valaisanne de jurisprudence [RVJ] 2007 S. 206) - die Konkursandrohung des Betreibungsamtes bestätigt hat.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