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285</w:t>
      </w:r>
    </w:p>
    <w:p>
      <w:r>
        <w:t>Bundesgericht (BGE), 1980-05-20, FR</w:t>
      </w:r>
    </w:p>
    <w:p>
      <w:r>
        <w:rPr>
          <w:b/>
        </w:rPr>
        <w:t xml:space="preserve">Quelle: </w:t>
      </w:r>
      <w:r>
        <w:t>https://mcp.opencaselaw.ch/entscheid/bge_BGE_139_III_285</w:t>
      </w:r>
    </w:p>
    <w:p>
      <w:r>
        <w:t>FR: ATF 139 III 285</w:t>
      </w:r>
    </w:p>
    <w:p>
      <w:r>
        <w:t>IT: DTF 139 III 285</w:t>
      </w:r>
    </w:p>
    <w:p>
      <w:pPr>
        <w:pStyle w:val="Heading2"/>
      </w:pPr>
      <w:r>
        <w:t>Regeste</w:t>
      </w:r>
    </w:p>
    <w:p>
      <w:r>
        <w:t>Regeste Art. 10 Abs. 1 lit. d des Europäischen Übereinkommens vom 20. Mai 1980 über die Anerkennung und Vollstreckung von Entscheidungen über das Sorgerecht für Kinder und die Wiederherstellung des Sorgerechts (Europäisches Sorgerechtsübereinkommen, ESÜ); Grund für die Verweigerung der Anerkennung eines Entscheides betreffend das Sorgerecht für ein Kind. Die Anerkennung kann versagt werden, wenn vor der Einreichung des Exequaturgesuchs im Rahmen eines im ersuchten Staat eingeleiteten Verfahrens ein Entscheid ergangen ist, welcher mit dem Entscheid, für welchen die Anerkennung beantragt wird, unvereinbar ist und wenn die Versagung dem Wohl des Kindes entspricht (Art. 10 Abs. 1 lit. d ESÜ). Ein Entscheid vorsorglicher Natur genügt (E. 3.2).</w:t>
      </w:r>
    </w:p>
    <w:p>
      <w:r>
        <w:t>Regeste Art. 10 par. 1 let. d de la Convention européenne du 20 mai 1980 sur la reconnaissance et l'exécution des décisions en matière de garde des enfants et le rétablissement de la garde des enfants (Convention de Luxembourg); motif de refus de la reconnaissance d'une décision relative à la garde d'un enfant. La reconnaissance peut être refusée si une décision, incompatible avec la décision dont la reconnaissance est requise, est rendue dans une procédure engagée dans l'Etat requis avant le dépôt de la requête d'exequatur, et si le refus est conforme à l'intérêt de l'enfant (art. 10 par. 1 let. d de la Convention de Luxembourg). Une décision de nature provisionnelle suffit (consid. 3.2).</w:t>
      </w:r>
    </w:p>
    <w:p>
      <w:r>
        <w:t>Regesto Art. 10 par. 1 lett. d della Convenzione europea del 20 maggio 1980 sul riconoscimento e l'esecuzione delle decisioni in materia di affidamento di minori e sul ristabilimento dell'affidamento; motivo di rifiuto del riconoscimento di una decisione relativa all'affidamento di un minore. Il riconoscimento può essere rifiutato se un provvedimento, incompatibile con la decisione il cui riconoscimento è domandato, è emesso in un procedimento intrapreso nello Stato richiesto prima della proposizione della domanda di exequatur e se il rifiuto è conforme all'interesse del minore (art. 10 par. 1 lett. d della predetta Convenzione). Un provvedimento di natura provvisionale è sufficiente (consid. 3.2).</w:t>
      </w:r>
    </w:p>
    <w:p>
      <w:pPr>
        <w:pStyle w:val="Heading2"/>
      </w:pPr>
      <w:r>
        <w:t>Erwägungen</w:t>
      </w:r>
    </w:p>
    <w:p>
      <w:r>
        <w:rPr>
          <w:b/>
        </w:rPr>
        <w:t>E. 3.2</w:t>
      </w:r>
    </w:p>
    <w:p>
      <w:r>
        <w:t>La Convention européenne du 20 mai 1980 sur la reconnaissance et l'exécution des décisions en matière de garde des enfants et le rétablissement de la garde des enfants (RS 0.211.230.01; ci-après: Convention de Luxembourg), ratifiée tant par la Suisse que par la Belgique, est applicable en l'espèce, la Convention de La Haye du 19 octobre 1996 concernant la compétence, la loi applicable, la reconnaissance, l'exécution et la coopération en matière de BGE 139 III 285 S. 287 responsabilité parentale et de mesures de protection des enfants (CLaH 96; 0.211.231.011) n'ayant pas encore été ratifiée par la Belgique. Elle tend à assurer et accélérer le renvoi de l'enfant à la personne à qui il a été enlevé en violation d'une décision portant sur la garde; en termes d'efficacité elle a largement été dépassée par la CLaH 80 (Convention du 25 octobre 1980 sur les aspects civils de l'enlèvement international d'enfants; RS 0.211.230.02) (arrêt 5A_131/2011 du 31 mars 2011 consid. 2.1 et les références citées). L'art. 7 de la Convention de Luxembourg prévoit que les décisions relatives à la garde rendues dans un Etat contractant sont reconnues et, lorsqu'elles sont exécutoires dans l'Etat d'origine, elles sont mises à exécution dans tout autre Etat contractant. Selon l'art. 11, les décisions sur le droit de visite et les dispositions des décisions relatives à la garde qui portent sur le droit de visite sont reconnues et mises à exécution dans les mêmes conditions que les autres décisions relatives à la garde (al. 1); toutefois, l'autorité compétente de l'Etat requis peut fixer les modalités de la mise en oeuvre et de l'exercice du droit de visite compte tenu notamment des engagements pris par les parties à ce sujet (al. 2). L'intérêt pratique à se prévaloir de l'art. 11 par. 1 de la Convention de Luxembourg est limité non seulement en raison des nombreux motifs de refus de reconnaissance de l'art. 10 par. 1 de la Convention (arrêt 5A_131/2011 du 31 mars 2011 consid. 3.1.2), mais également du fait que l'exercice du droit de visite doit s'effectuer selon les instructions fixées par l'autorité compétente de l'Etat requis (art. 11 par. 2 de la Convention de Luxembourg; BUCHER, in Commentaire romand, Loi sur le droit international privé, Convention de Lugano, 2011, n° 179 ad art. 85 LDIP ). La Convention de Luxembourg pose des conditions différentes à la reconnaissance des décisions selon que l'enfant a été déplacé sans droit (art. 8 et 9) ou de manière licite (art. 10). Lorsque, comme en l'espèce, l'enfant n'a pas été déplacé sans droit, la reconnaissance est soumise à l'art. 10 de la Convention de Luxembourg. En vertu de cet article, la reconnaissance peut être refusée s'il est constaté que les effets de la décision sont manifestement incompatibles avec les principes fondamentaux du droit régissant la famille et les enfants dans l'Etat requis (par. 1 let. a); s'il est constaté qu'en raison de changements de circonstances incluant l'écoulement du temps mais excluant le seul changement de résidence de l'enfant à la suite d'un déplacement sans droit, les effets de la décision d'origine ne sont manifestement plus conformes à l'intérêt de l'enfant BGE 139 III 285 S. 288 (par. 1 let. b); si, au moment de l'introduction de l'instance dans l'Etat d'origine, l'enfant avait la nationalité de l'Etat requis ou sa résidence habituelle dans cet Etat alors qu'aucun de ces liens de rattachement n'existait avec l'Etat d'origine ou s'il avait à la fois la nationalité de l'Etat d'origine et de l'Etat requis et sa résidence habituelle dans l'Etat requis (par. 1 let. c) ou si la décision est incompatible avec une décision rendue, soit dans l'Etat requis, soit dans un Etat tiers tout en étant exécutoire dans l'Etat requis, à la suite d'une procédure engagée avant l'introduction de la demande de reconnaissance ou d'exécution, et si le refus est conforme à l'intérêt de l'enfant (par. 1 let. d). S'agissant de ce dernier motif de refus, il suffit qu'une décision, même provisionnelle, ait été rendue dans une procédure engagée avant le dépôt de la requête d'exequatur et que cette décision soit incompatible avec la décision dont la reconnaissance est requise (PIRRUNG, in J. Staudingers Kommentar [...], Vorbem C-H zu Art 19 EGBGB, Berlin 2009, n° E 61 des remarques préliminaires à l'art. 19 EGBGB; GMÜNDER, Anerkennung und Vollstreckung von ausländischen Scheidungsurteilen unter besonderer Berücksichtigung von kindesrechtlichen Nebenfolgen, 2006, p.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