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III 126</w:t>
      </w:r>
    </w:p>
    <w:p>
      <w:r>
        <w:t>Bundesgericht (BGE), 2013-02-25, DE</w:t>
      </w:r>
    </w:p>
    <w:p>
      <w:r>
        <w:rPr>
          <w:b/>
        </w:rPr>
        <w:t xml:space="preserve">Quelle: </w:t>
      </w:r>
      <w:r>
        <w:t>https://mcp.opencaselaw.ch/entscheid/bge_BGE_139_III_126</w:t>
      </w:r>
    </w:p>
    <w:p>
      <w:r>
        <w:t>FR: ATF 139 III 126</w:t>
      </w:r>
    </w:p>
    <w:p>
      <w:r>
        <w:t>IT: DTF 139 III 126</w:t>
      </w:r>
    </w:p>
    <w:p>
      <w:pPr>
        <w:pStyle w:val="Heading2"/>
      </w:pPr>
      <w:r>
        <w:t>Regeste</w:t>
      </w:r>
    </w:p>
    <w:p>
      <w:r>
        <w:t>Regeste Materielle Rechtskraft; Identität von prozessualen Ansprüchen. Die Identität von prozessualen Ansprüchen beurteilt sich nach den Klageanträgen und dem behaupteten Lebenssachverhalt, d.h. dem Tatsachenfundament, auf das sich die Klagebegehren stützen (Präzisierung der Rechtsprechung; E. 3). Eine behauptete arglistige Prozessführung ist mit Revision geltend zu machen (Bestätigung der Rechtsprechung; E. 4).</w:t>
      </w:r>
    </w:p>
    <w:p>
      <w:r>
        <w:t>Regeste Autorité de la chose jugée; identité des prétentions déduites en justice. L'identité des prétentions déduites en justice est déterminée par les conclusions de la demande et les faits invoqués à l'appui de celle-ci, à savoir par le complexe de faits sur lequel les conclusions se fondent (précision de la jurisprudence; consid. 3). Une conduite du procès prétendument dolosive doit être invoquée par la voie de la révision (confirmation de la jurisprudence; consid. 4).</w:t>
      </w:r>
    </w:p>
    <w:p>
      <w:r>
        <w:t>Regesto Autorità di cosa giudicata; identità di pretese processuali. L'identità di pretese processuali viene determinata in base alle domande di petizione e ai fatti allegati, e cioè in base al fondamento fattuale su cui poggiano le conclusioni dell'azione (precisazione della giurisprudenza; consid. 3). Un'asserita condotta processuale dolosa va fatta valere con la revisione (conferma della giurisprudenza; consid. 4).</w:t>
      </w:r>
    </w:p>
    <w:p>
      <w:pPr>
        <w:pStyle w:val="Heading2"/>
      </w:pPr>
      <w:r>
        <w:t>Erwägungen</w:t>
      </w:r>
    </w:p>
    <w:p>
      <w:r>
        <w:rPr>
          <w:b/>
        </w:rPr>
        <w:t>E. 2.1</w:t>
      </w:r>
    </w:p>
    <w:p>
      <w:r>
        <w:t>Die Vorinstanz entschied, die Rechtskraft des früheren Urteils stehe der Zulässigkeit der vorliegenden Klage entgegen. Es sei einer rechtskräftig unterlegenen Partei verwehrt, in einem neuen Prozess Schadenersatz zu verlangen mit der Begründung, das Urteil im ersten Prozess sei unrichtig, ihre Prozessgegnerin habe die Unrichtigkeit des Urteils verursacht und sie dadurch geschädigt. Vielmehr wäre nach Auffassung der Vorinstanz die Beseitigung der Rechtskraft anzustreben gewesen, indem die behauptete arglistige Prozessführung mit Revision geltend gemacht worden wäre.</w:t>
      </w:r>
    </w:p>
    <w:p>
      <w:r>
        <w:rPr>
          <w:b/>
        </w:rPr>
        <w:t>E. 2.2</w:t>
      </w:r>
    </w:p>
    <w:p>
      <w:r>
        <w:t>Der Beschwerdeführer rügt vor Bundesgericht, der Entscheid der Vorinstanz verstosse gegen Art. 59 Abs. 2 lit. e ZPO . Seine Klage stütze sich auf Tatsachen, die sich nach der letzten Möglichkeit zur Noveneinbringung im früheren Verfahren ereignet hätten. Aus diesen Tatsachen leite er einen anderen als in jenem Verfahren beurteilten prozessualen Anspruch ab, der sich auf eine andere als die damals angewendete Rechtsgrundlage abstütze; deshalb könnten bereits zeitlogisch identische Streitgegenstände nicht vorliegen.</w:t>
      </w:r>
    </w:p>
    <w:p>
      <w:r>
        <w:rPr>
          <w:b/>
        </w:rPr>
        <w:t>E. 3</w:t>
      </w:r>
    </w:p>
    <w:p>
      <w:r>
        <w:t>Gemäss Art. 59 Abs. 1 i.V.m. Abs. 2 lit. e ZPO e contrario tritt ein Gericht auf die Klage nicht ein, wenn die Sache bereits rechtskräftig entschieden ist. Wann dies der Fall ist, regelt die ZPO nicht näher. Die bundesrätliche Botschaft hält dazu lediglich fest, es bestehe zu dieser Frage eine reiche Rechtsprechung und Literatur, die ihre Bedeutung auch unter der Herrschaft der ZPO vollumfänglich beibehalte (Botschaft vom 28. Juni 2006 zur Schweizerischen Zivilprozessordnung, BBl 2006 7221, 7278 ad Art. 62 E-ZPO).</w:t>
      </w:r>
    </w:p>
    <w:p>
      <w:r>
        <w:rPr>
          <w:b/>
        </w:rPr>
        <w:t>E. 3.1</w:t>
      </w:r>
    </w:p>
    <w:p>
      <w:r>
        <w:t>Materielle Rechtskraft bedeutet Massgeblichkeit eines formell rechtskräftigen Urteils in jedem späteren Verfahren unter denselben Parteien. Sie hat eine positive und eine negative Wirkung (statt aller SIMON ZINGG, in: Berner Kommentar, Schweizerische Zivilprozessordnung, 2012, N. 95 zu Art. 59 ZPO ). In positiver Hinsicht bindet die materielle Rechtskraft das Gericht in einem späteren Prozess an alles, was im Urteilsdispositiv des früheren Prozesses festgestellt wurde (sog. Präjudizialitäts- oder Bindungswirkung, vgl. BGE 116 II 738 E. 3 S. 744; BGE 121 III 474 E. 4a S. 478). In negativer Hinsicht verbietet die materielle Rechtskraft jedem späteren Gericht, auf eine Klage einzutreten, deren Streitgegenstand mit dem rechtskräftig BGE 139 III 126 S. 129 beurteilten (res iudicata, d.h. abgeurteilte Sache i.S. von Art. 59 Abs. 2 lit. e ZPO ) identisch ist, sofern der Kläger nicht ein schutzwürdiges Interesse an Wiederholung des früheren Entscheids geltend machen kann (vgl. BGE 121 III 474 E. 2 S. 477; zum Wiederholungsinteresse MICHAEL BEGLINGER, Rechtskraft und Rechtskraftdurchbrechung im Zivilprozess, ZBJV 133/1997 S. 613). Die materielle Rechtskraft eines Urteils erstreckt sich nach dem Grundsatz der Präklusion auf den individualisierten Anspruch schlechthin und schliesst Angriffe auf sämtliche Tatsachen aus, die im Zeitpunkt des Urteils bereits bestanden hatten, unabhängig davon, ob sie den Parteien bekannt waren, von diesen vorgebracht oder vom Richter beweismässig als erstellt erachtet wurden (grundlegend BGE 115 II 187 E. 3b; vgl. ferner BGE 116 II 738 E. 2b S. 744; Urteil 5A_438/2007 vom 20. November 2007 E. 2.2.1).</w:t>
      </w:r>
    </w:p>
    <w:p>
      <w:r>
        <w:rPr>
          <w:b/>
        </w:rPr>
        <w:t>E. 3.2</w:t>
      </w:r>
    </w:p>
    <w:p>
      <w:r>
        <w:t>Die Beschwerde wirft vorab die Frage vom Stellenwert des Rechtsgrundes bei der Abgrenzung der Streitgegenstände auf.</w:t>
      </w:r>
    </w:p>
    <w:p>
      <w:r>
        <w:rPr>
          <w:b/>
        </w:rPr>
        <w:t>E. 3.2.1</w:t>
      </w:r>
    </w:p>
    <w:p>
      <w:r>
        <w:t>Auf den ersten Blick könnte erscheinen, dass sich der bundesgerichtlichen Rechtsprechung zur Identität von Streitgegenständen im Hinblick auf die negative Wirkung der materiellen Rechtskraft kein einheitliches Bild vom Stellenwert des Rechtsgrundes entnehmen lässt. Denn nach der einen Formel ist der mit einer Klage erhobene prozessuale Anspruch mit einem bereits rechtskräftig abgeurteilten identisch, "wenn der Anspruch dem Gericht aus demselben Rechtsgrund und gestützt auf den gleichen Sachverhalt erneut zur Beurteilung unterbreitet wird" (so u.a. im Urteil 4A_508/2010 vom 14. Februar 2011 E. 2.1; 4A_145/2009 vom 16. Juni 2009 E. 1.3; BGE 128 III 284 E. 3b ["lorsque, dans l'un et l'autre procès, les parties soumettent au juge la même prétention en se fondant sur les mêmes causes juridiques et les mêmes faits"]; BGE 125 III 241 E. 1 S. 242; 123 III 16 E. 2a S. 18; BGE 121 III 474 E. 4a S. 477; BGE 119 II 89 E. 2a S. 90; BGE 97 II 390 E. 4 S. 395), während eine andere, meist in Urteilen französischer oder italienischer Sprache verwendete Formel den Rechtsgrund nicht erwähnt ( BGE 136 III 123 E. 4.3.1 S. 126 ["l'objet du litige est déterminé par les conclusions de la demande et par les faits invoqués à l'appui de celle-ci, à savoir par le complexe de faits sur lequel les conclusions se fondent"]; Urteil 4A_487/2007 vom 19. Juni 2009 E. 7.1; BGE 125 III 8 E. 2 S. 10 ["una sentenza osta all'introduzione di un successivo processo civile ove quest'ultimo verta fra le stesse parti (limite soggettivo dell'autorità di cosa giudicata), riguardi l'identica pretesa e sia fondato sul medesimo complesso di fatti BGE 139 III 126 S. 130 (limiti oggettivi dell'autorità di cosa giudicata)"]; BGE 116 II 738 E. 2a S. 743). Jedenfalls ist Identität der Streitgegenstände zu verneinen, wenn zwar aus dem gleichen Rechtsgrund wie im Vorprozess geklagt wird, aber neue erhebliche Tatsachen geltend gemacht werden, die seitdem eingetreten sind und den Anspruch in der nunmehr eingeklagten Form erst entstehen liessen. Diesfalls stützt sich die neue Klage auf rechtsbegründende oder rechtsverändernde Tatsachen, die im früheren Prozess nicht zu beurteilen waren und ausserhalb der zeitlichen Grenzen der materiellen Rechtskraft des früheren Urteils liegen ( BGE 105 II 268 E. 2 S. 270; BGE 116 II 783 E. 2a; BGE 125 III 241 E. 2d S. 246).</w:t>
      </w:r>
    </w:p>
    <w:p>
      <w:r>
        <w:rPr>
          <w:b/>
        </w:rPr>
        <w:t>E. 3.2.2</w:t>
      </w:r>
    </w:p>
    <w:p>
      <w:r>
        <w:t>In der neueren Lehre ist die Frage aufgeworfen worden, ob es in der Formel zur Abgrenzung der Streitgegenstände der Erwähnung des Rechtsgrundes überhaupt bedürfe (SIMON ZINGG, a.a.O., N. 74 zu Art. 59 ZPO ; FRANCESCO TREZZINI, in: Commentario al Codice di diritto processuale civile svizzero [CPC], 2011, N. 452 zu Art. 59 ZPO S. 185; STEPHEN V. BERTI, Zur materiellen Rechtskraft nach schweizerischem Zivilprozessrecht, in: Festschrift zum Schweizerischen Juristentag 2011, Bommer/Berti [Hrsg.], 2011, S. 236 f.). Der Rechtsgrund könne ein sinnvolles Element der Identitätsbestimmung etwa in den Ausnahmefällen bilden, in denen die Kognition des erkennenden Gerichts durch verbindliche Parteidisposition beschränkt war (so im Urteil 4A_307/2011 vom 16. Dezember 2011 E. 2.4 i.f.; dazu LORENZ DROESE, SZZP 2012 S. 296 ff.). Hingegen habe das Gericht im Normalfall uneingeschränkter Kognition in Befolgung des Gebots der Rechtsanwendung von Amtes wegen (iura novit curia) gemäss Art. 57 ZPO alle in Frage kommenden Normen auf den Streitgegenstand anzuwenden (vgl. BERTI, a.a.O., S. 237).</w:t>
      </w:r>
    </w:p>
    <w:p>
      <w:r>
        <w:rPr>
          <w:b/>
        </w:rPr>
        <w:t>E. 3.2.3</w:t>
      </w:r>
    </w:p>
    <w:p>
      <w:r>
        <w:t>Das Bundesgericht hat die Ambivalenz im Zusammenhang mit den Formulierungen der Rechtsprechung, in denen der Rechtsgrund enthalten ist, und denjenigen, die ohne den Rechtsgrund auskommen, 1997 in einem nicht in der amtlichen Sammlung publizierten Urteil geklärt. Dort hielt es fest, dass der Begriff Rechtsgrund nicht im technischen Sinn als angerufene Rechtsnorm, sondern im Sinne des Entstehungsgrundes zu verstehen ist, worauf in BGE 123 III 16 E. 2a sowie BGE 121 III 474 E. 4a Bezug genommen wurde (Urteil 4C.384/1995 vom 1. Mai 1997 E. 2d). In beiden letztgenannten Entscheiden wird jeweils innerhalb der gleichen Erwägung einerseits (a.a.O., am Anfang der E. 2a bzw. 4a) Identität bejaht, "wenn der [prozessuale] Anspruch dem Richter aus demselben Rechtsgrund und gestützt auf BGE 139 III 126 S. 131 denselben Sachverhalt erneut zur Beurteilung unterbreitet wird", aber andererseits (a.a.O., am Ende der E. 2a bzw. 4a) die Identität von Rechtsbehauptungen (d.h. von prozessualen Ansprüchen) verneint, "wenn sie nicht auf denselben Tatsachen und rechtlichen Umständen beruhen". Die beiden Aussagen lassen sich miteinander in Einklang bringen durch die präzisierte Formel, dass die Identität von prozessualen Ansprüchen nach den Klageanträgen und dem behaupteten Lebenssachverhalt, d.h. dem Tatsachenfundament, auf das sich die Klagebegehren stützen, beurteilt wird (so Urteil 4A_574/2010 vom 21. März 2011 E. 2.3.1; BGE 136 III 123 E. 4.3.1 S. 126). Dabei ist der Begriff der Anspruchsidentität nicht grammatikalisch, sondern inhaltlich zu verstehen. Der neue prozessuale Anspruch ist deshalb trotz abweichender Umschreibung vom beurteilten nicht verschieden, wenn er in diesem bereits enthalten war oder wenn im neuen Verfahren das kontradiktorische Gegenteil zur Beurteilung gestellt wird ( BGE 123 III 16 S. 19 E. 2a).</w:t>
      </w:r>
    </w:p>
    <w:p>
      <w:r>
        <w:rPr>
          <w:b/>
        </w:rPr>
        <w:t>E. 4</w:t>
      </w:r>
    </w:p>
    <w:p>
      <w:r>
        <w:t>Die Vorinstanz hat erwogen, der Beschwerdeführer habe mit der vorliegenden Klage im Verhältnis zu jener der Beschwerdegegnerin als Klägerin im früheren Prozess nur teilweise das kontradiktorische Gegenteil zur Beurteilung gestellt. Dies sei zwar in Bezug auf das Hauptbegehren der Fall, das auf die Rückübertragung der gleichen Geschäftsanteile gerichtet sei, deren Übertragung die Beschwerdegegnerin im früheren Prozess erfolgreich eingeklagt habe. Indessen verlange der Beschwerdeführer mit seinem Eventualbegehren Anderes, nämlich die Bezahlung von Schadensersatz wegen einer behaupteten unerlaubten Handlung der Beschwerdegegnerin als Klägerin im früheren Prozess.</w:t>
      </w:r>
    </w:p>
    <w:p>
      <w:r>
        <w:rPr>
          <w:b/>
        </w:rPr>
        <w:t>E. 4.1</w:t>
      </w:r>
    </w:p>
    <w:p>
      <w:r>
        <w:t>Dem kann nur teilweise gefolgt werden. Denn wie die Vorinstanz an anderer Stelle festhält, stützt der Beschwerdeführer sein Hauptbegehren ebenfalls auf eine behauptete unerlaubte Handlung der Beschwerdegegnerin als Klägerin im früheren Prozess. Der Beschwerdeführer macht somit mit seinem Hauptbegehren die Behebung seines behaupteten Schadens in natura geltend, während er mit seinem Eventualbegehren Geldersatz verlangt. Das Eventualbegehren unterscheidet sich vom Hauptbegehren zwar grammatikalisch, nicht aber inhaltlich - der geforderte Geldbetrag bildet lediglich das Surrogat des mit den gleichen Tatsachen begründeten Hauptbegehrens. Entgegen der Auffassung der Vorinstanz stellt der Beschwerdeführer deshalb nicht nur mit seinem Hauptbegehren, sondern auch mit seinem Eventualbegehren das kontradiktorische Gegenteil dessen zur Beurteilung, BGE 139 III 126 S. 132 was der Beschwerdegegnerin im früheren Prozess rechtskräftig zugesprochen wurde. So gilt für beide Klagebegehren, dass ihnen nur, wenn überhaupt, dann entsprochen werden könnte, wenn der Beschwerdeführer sie auf Tatsachen gestützt hätte, die ausserhalb der zeitlichen Grenzen der materiellen Rechtskraft des früheren Urteils lagen (E. 3.2.1; vgl. für einen solchen Fall Urteil 4C.314/2004 vom 17. November 2004). Das hat er aber nicht getan, wenn er als neue Tatsache die Irreführung des Gerichts vorbringt. Damit steht seinen Rechtsbegehren die res iudicata entgegen.</w:t>
      </w:r>
    </w:p>
    <w:p>
      <w:r>
        <w:rPr>
          <w:b/>
        </w:rPr>
        <w:t>E. 4.2</w:t>
      </w:r>
    </w:p>
    <w:p>
      <w:r>
        <w:t>Die Vorinstanz hat unter Hinweis auf BGE 127 III 496 E. 3b/aa S. 499 f. zutreffend festgehalten, ein rechtskräftiges Urteil könne nicht von derjenigen Partei, die behauptet, es sei durch arglistiges Verhalten der Gegenpartei zustande gekommen, in einem nachfolgenden Schadenersatzprozess in Frage gestellt werden. Die behauptete arglistige Prozessführung müsse vielmehr mit Revision geltend gemacht werden.</w:t>
      </w:r>
    </w:p>
    <w:p>
      <w:r>
        <w:rPr>
          <w:b/>
        </w:rPr>
        <w:t>E. 4.3</w:t>
      </w:r>
    </w:p>
    <w:p>
      <w:r>
        <w:t>Der Beschwerdeführer macht geltend, dass es selbst bei Annahme identischer Streitgegenstände unzumutbar wäre, die Rechtskraft des Kontumazurteils in einem Revisionsverfahren mit Hilfe eines Strafverfahrens beseitigen zu müssen. Er begründet die behauptete Unzumutbarkeit aber mit keinem Wort, sondern fügt lediglich - aber ebenfalls ohne weitere Begründung - hinzu, es müsse ihm im Interesse der materiellen Gerechtigkeit offenstehen, im vorliegenden Klageverfahren das Verhalten der Beschwerdegegnerin als Klägerin des früheren Verfahrens beurteilen zu lassen.</w:t>
      </w:r>
    </w:p>
    <w:p>
      <w:r>
        <w:rPr>
          <w:b/>
        </w:rPr>
        <w:t>E. 4.4</w:t>
      </w:r>
    </w:p>
    <w:p>
      <w:r>
        <w:t>Die in BGE 127 III 496 aufgestellten Grundsätze behalten, wie die Vorinstanz zutreffend erwog, auch unter der Schweizerischen Zivilprozessordnung ihre Gültigkeit. Gemäss Art. 328 Abs. 1 lit. b ZPO liegt nämlich ein Revisionsgrund vor, wenn ein Strafverfahren ergeben hat, dass durch ein Verbrechen oder Vergehen zulasten einer Partei auf einen Entscheid eingewirkt wurde; eine Verurteilung durch das Strafgericht ist dabei nicht erforderlich und der Beweis kann auch auf andere Weise erbracht werden, wenn das Strafverfahren nicht durchführbar ist. Mit dieser Erleichterung hat der Gesetzgeber Bedenken der Lehre Rechnung getragen, wonach das Erfordernis eines formellen Strafverfahrens den Revisionsgrund übermässig einschränken würde (vgl. PICHONNAZ/MARCA, Mendacium pro veritate habetur?, Revue fribourgeoise de jurisprudence [RFJ] 2002 S. 34 Anm. 42 m.w.H.).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