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218</w:t>
      </w:r>
    </w:p>
    <w:p>
      <w:r>
        <w:t>Bundesgericht (BGE), 2012-04-26, DE</w:t>
      </w:r>
    </w:p>
    <w:p>
      <w:r>
        <w:rPr>
          <w:b/>
        </w:rPr>
        <w:t xml:space="preserve">Quelle: </w:t>
      </w:r>
      <w:r>
        <w:t>https://mcp.opencaselaw.ch/entscheid/bge_BGE_138_V_218</w:t>
      </w:r>
    </w:p>
    <w:p>
      <w:r>
        <w:t>FR: ATF 138 V 218</w:t>
      </w:r>
    </w:p>
    <w:p>
      <w:r>
        <w:t>IT: DTF 138 V 218</w:t>
      </w:r>
    </w:p>
    <w:p>
      <w:pPr>
        <w:pStyle w:val="Heading2"/>
      </w:pPr>
      <w:r>
        <w:t>Regeste</w:t>
      </w:r>
    </w:p>
    <w:p>
      <w:r>
        <w:t>Regeste a Art. 25 Abs. 1 zweiter Satz ATSG; Art. 29 Abs. 2 BV; Art. 46 ATSG; Erlass der Rückerstattung unrechtmässig bezogener Witwerrenten: guter Glaube oder zumindest grobfahrlässige Verletzung der Meldepflicht hinsichtlich Wiederverheiratung? Umkehr der Beweislast wegen Verletzung der Aktenführungspflicht durch die Ausgleichskasse? Die in casu festgestellten geringfügigen Unzulänglichkeiten bei der elektronischen Verwaltung des Aktendossiers rechtfertigen keineswegs die vorinstanzliche Annahme, wonach die Ausgleichskasse der ihr obliegenden Aktenführungspflicht nicht ordnungsgemäss und vollständig nachgekommen sei und deshalb mit Bezug auf die in den Unterlagen fehlende Anzeige der Wiederverheiratung eine Umkehr der Beweislast eintrete (E. 4-9).</w:t>
      </w:r>
    </w:p>
    <w:p>
      <w:r>
        <w:t>Regeste b Art. 25 Abs. 1 zweiter Satz ATSG; Art. 70 bis AHVV; Erlassvoraussetzung des guten Glaubens in casu selbst bei Erfüllung der Meldepflicht betreffend Zivilstandsänderung zu verneinen.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(E. 10).</w:t>
      </w:r>
    </w:p>
    <w:p>
      <w:r>
        <w:t>Regeste a Art. 25 al. 1, 2 e phrase, LPGA; art. 29 al. 2 Cst.; art. 46 LPGA; remise de la restitution de rentes de veuf indûment touchées: celui qui n'annonce pas son remariage fait-il preuve de bonne foi ou à tout le moins d'une grossière négligence? Y a-t-il renversement du fardeau de la preuve en cas de violation de l'obligation de tenue du dossier par la caisse de compensation? De légères insuffisances constatées dans la gestion électronique du dossier ne justifient pas de conclure en l'espèce, comme l'a fait l'autorité précédente, que la caisse de compensation n'aurait pas pleinement respecté en bonne et due forme son obligation de tenue du dossier et qu'il en résulterait un renversement du fardeau de la preuve eu égard à l'absence dans le dossier de l'annonce du remariage (consid. 4-9).</w:t>
      </w:r>
    </w:p>
    <w:p>
      <w:r>
        <w:t>Regeste b Art. 25 al. 1, 2 e phrase, LPGA; art 70 bis RAVS; rejet de l'application du principe de la bonne foi malgré le respect de l'obligation d'annoncer le changement d'état civil. Celui qui se remarie ne peut pas continuer de bonne foi à percevoir pendant des années une rente de veuf, sans s'être renseigné auprès de la caisse de compensation sur la question de savoir si l'annonce de son remariage lui est bien parvenue et si la poursuite du versement de la rente est encore légitime. Il est en effet clair pour tout un chacun que le nouvel état civil remplace l'ancien auquel était lié, comme son nom l'indique, la perception de la rente de veuf (consid. 10).</w:t>
      </w:r>
    </w:p>
    <w:p>
      <w:r>
        <w:t>Regesto a Art. 25 cpv. 1 seconda frase LPGA; art. 29 cpv. 2 Cost.; art. 46 LPGA; condono dell'obbligo di restituire rendite per vedovo percepite indebitamente: buona fede o violazione, perlomeno per grave negligenza, dell'obbligo di informare in merito al passaggio a nuove nozze? Inversione dell'onere della prova per violazione dell'obbligo di costituire un incarto da parte della cassa di compensazione? Le insufficienze di poco conto inerenti alla gestione elettronica dell'incarto accertate nel caso di specie non giustificano in nessun modo la presunzione dell'istanza precedente, secondo cui la cassa di compensazione non avrebbe adempiuto, nelle dovute forme e in maniera completa, al proprio obbligo di costituire un incarto, ragione per cui interverrebbe un'inversione dell'onere della prova in relazione al carente annuncio agli atti del passaggio a nuove nozze (consid. 4-9).</w:t>
      </w:r>
    </w:p>
    <w:p>
      <w:r>
        <w:t>Regesto b Art. 25 cpv. 1 seconda frase LPGA; art. 70 bis OAVS; la buona fede quale condizione del condono dev'essere nella specie negata perfino nel caso di adempimento dell'obbligo di informare sulla modificazione dello stato civile.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(consid. 10).</w:t>
      </w:r>
    </w:p>
    <w:p>
      <w:pPr>
        <w:pStyle w:val="Heading2"/>
      </w:pPr>
      <w:r>
        <w:t>Erwägungen</w:t>
      </w:r>
    </w:p>
    <w:p>
      <w:r>
        <w:rPr>
          <w:b/>
        </w:rPr>
        <w:t>E. 4</w:t>
      </w:r>
    </w:p>
    <w:p>
      <w:r>
        <w:t>Wer Leistungen in gutem Glauben empfangen hat, muss sie nicht zurückerstatten, wenn eine grosse Härte vorliegt (Art. 25 Abs. 1 zweiter Satz ATSG [SR 830.1]; vgl. auch Art. 4 Abs. 1 der Verordnung vom 11. September 2002 über den Allgemeinen Teil des Sozialversicherungsrechts [ATSV; SR 830.11] ). Wie das kantonale Gericht zutreffend dargelegt hat, ist der gute Glaube als Erlassvoraussetzung nicht schon mit der Unkenntnis des Rechtsmangels gegeben. Der Leistungsempfänger darf sich vielmehr nicht nur keiner böswilligen Absicht, sondern auch keiner groben Nachlässigkeit schuldig BGE 138 V 218 S. 221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 BGE 112 V 97 E. 2c S. 103). Wie in anderen Bereichen beurteilt sich das Mass der erforderlichen Sorgfalt nach einem objektiven Massstab, wobei aber das den Betroffenen in ihrer Subjektivität Mögliche und Zumutbare (Urteilsfähigkeit, Gesundheitszustand, Bildungsgrad usw.) nicht ausgeblendet werden darf (SVR 2008 AHV Nr. 13 S. 41, 9C_14/2007 E. 4.1 mit Hinweis).</w:t>
      </w:r>
    </w:p>
    <w:p>
      <w:r>
        <w:rPr>
          <w:b/>
        </w:rPr>
        <w:t>E. 5</w:t>
      </w:r>
    </w:p>
    <w:p>
      <w:r>
        <w:t>Dass der Beschwerdegegner nach Art. 31 Abs. 1 ATSG und Art. 70 bis Abs. 1 der Verordnung vom 31. Oktober 1947 über die Alters- und Hinterlassenenversicherung (AHVV; SR 831.101) verpflichtet war, die Änderung im Zivilstand vom 15. Juni 2001 zu melden, steht ausser Frage (vgl. auch den diesbezüglichen Hinweis in der Rentenverfügung vom 13. Juni 1997). Er macht denn auch geltend, er sei - auf Veranlassung seines Steuerberaters - der ihm obliegenden Meldepflicht mit Schreiben an die Ausgleichskasse vom 7. Februar 2002 nachgekommen. Eine entsprechende Mitteilung findet sich indessen im von der Kasse geführten Aktendossier des Versicherten nicht. Ebenso wenig vermag der Beschwerdegegner einen Versandnachweis für die geltend gemachte uneingeschriebene Postsendung vorzulegen.</w:t>
      </w:r>
    </w:p>
    <w:p>
      <w:r>
        <w:rPr>
          <w:b/>
        </w:rPr>
        <w:t>E. 6</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126 V 353 E. 5b S. 360; BGE 125 V 193 E. 2 S. 195; je mit Hinweisen; BGE 138 V 218 S. 222 vgl. BGE 130 III 321 E. 3.2 und 3.3 S. 324 f.; SVR 2011 UV Nr. 11 S. 39, 8C_693/2010 E. 10).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261 E. 3b S. 264 mit Hinweisen; Urteil 8C_663/2009 vom 27. April 2010 E. 2.2).</w:t>
      </w:r>
    </w:p>
    <w:p>
      <w:r>
        <w:rPr>
          <w:b/>
        </w:rPr>
        <w:t>E. 7</w:t>
      </w:r>
    </w:p>
    <w:p>
      <w:r>
        <w:t>Angesichts der geschilderten Aktenlage (vorstehende E. 5 in fine) hat die Vorinstanz festgestellt, es sei einerseits möglich, dass der Beschwerdegegner mittels geltend gemachtem (in Kopie vorgelegtem) Schreiben vom 7. Februar 2002 seiner Meldepflicht tatsächlich nachgekommen sei. Anderseits sei es jedoch ebenso möglich, dass das genannte Schreiben nicht zum Zeitpunkt des angegebenen Datums erstellt, nie versandt, bei der Ausgleichskasse nicht angekommen oder aber bei ihr in Verstoss geraten sei. Keiner dieser möglichen Tatbestände sei zum heutigen Zeitpunkt mit geeigneten Beweismitteln rechtsgenüglich zu erhärten oder könne für sich beanspruchen, überwiegend wahrscheinlich zu sein. Diese vorinstanzliche Schlussfolgerung, wonach hinsichtlich einer Meldung der erneuten Eheschliessung Beweislosigkeit herrsche, ist für das Bundesgericht verbindlich (nicht publ. E. 2). Gemäss dargelegter Rechtsprechung müsste mithin der Entscheid zu Ungunsten des Beschwerdegegners ausfallen, weil dieser seine Gutgläubigkeit beim unrechtmässigen Weiterbezug der Witwerrente auf die streitige, unbewiesen gebliebene Meldung an die Ausgleichskasse stützt. Das kantonale Gericht gelangt indessen zu einem andern Ergebnis: Aufgrund verschiedener, im angefochtenen Entscheid dargelegter Umstände schliesst es auf eine unvollständige Aktenführung durch die Ausgleichskasse und leitet daraus letztlich eine Umkehr der Beweislast ab. Im Folgenden ist deshalb zu prüfen, was es mit dieser vorinstanzlichen Betrachtungsweise auf sich hat. BGE 138 V 218 S. 223</w:t>
      </w:r>
    </w:p>
    <w:p>
      <w:r>
        <w:rPr>
          <w:b/>
        </w:rPr>
        <w:t>E. 8.1.1</w:t>
      </w:r>
    </w:p>
    <w:p>
      <w:r>
        <w:t>Das Bundesgericht hat verschiedentlich festgehalten, dass eine Umkehr der Beweislast ausnahmsweise dann eintritt, wenn eine Partei einen Beweis aus Gründen nicht erbringen kann, welche nicht von ihr, sondern von der Behörde zu verantworten sind ( BGE 92 I 253 E. 3 S. 257; SVR 2011 UV Nr. 11 S. 39, 8C_693/2010 E. 12; Pra 1999 Nr. 170 S. 886, 2A.635/1998 E. 3b/bb; Urteil 4P.197/2003 vom 16. Januar 2004 E. 3.2). Einen derartigen Fall von Beweislastumkehr erblickt die Rechtsprechung etwa bei der Beweislosigkeit der Rechtzeitigkeit eines Rechtsmittels, welche darauf zurückzuführen ist, dass die Verwaltung oder Behörde den Briefumschlag, in welchem das an sie gerichtete Rechtsmittel (uneingeschrieben) verschickt wurde, in Verletzung ihrer Aktenführungspflicht nicht zu den Akten genommen und damit die Beweiserbringung für die Rechtzeitigkeit des Rechtsmittels verunmöglicht hat ( BGE 124 V 372 E. 3b S. 375; SVR 2011 UV Nr. 11 S. 39, 8C_693/2010 E. 12; 2007 AHV Nr. 8 S. 22, H 131/06 E. 3.2; Pra 1999 Nr. 170 S. 886, 2A.635/1998 E. 4; RKUV 1999 S. 416, U 344/98 E. 2 und 3).</w:t>
      </w:r>
    </w:p>
    <w:p>
      <w:r>
        <w:rPr>
          <w:b/>
        </w:rPr>
        <w:t>E. 8.1.2</w:t>
      </w:r>
    </w:p>
    <w:p>
      <w:r>
        <w:t>Die erwähnte Aktenführungspflicht von Verwaltung und Behörden bildet das Gegenstück zum (aus Art. 29 Abs. 2 BV fliessenden) Akteneinsichts- und Beweisführungsrecht, indem die Wahrnehmung des Akteneinsichtsrechts durch die versicherte Person eine Aktenführungspflicht der Verwaltung voraussetzt ( BGE 130 II 473 E. 4.1 S. 477; BGE 124 V 372 E. 3b S. 375 f., BGE 124 V 389 E. 3a S. 390).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 BGE 124 V 372 E. 3b S. 376; BGE 115 Ia 97 E. 4c S. 99; Pra 1999 Nr. 170 S. 886, 2A.635/1998 E. 4a). Der verfassungsmässige Anspruch auf eine geordnete und übersichtliche Aktenführung verpflichtet die Behörden und Gerichte, die Vollständigkeit der im Verfahren eingebrachten und erstellten Akten sicherzustellen (SVR 2011 IV Nr. 44 S. 131, 8C_319/2010 E. 2.2.1; Urteil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S. 224</w:t>
      </w:r>
    </w:p>
    <w:p>
      <w:r>
        <w:rPr>
          <w:b/>
        </w:rPr>
        <w:t>E. 8.2</w:t>
      </w:r>
    </w:p>
    <w:p>
      <w:r>
        <w:t>Nach vorinstanzlicher Auffassung kann die Ausgleichskasse "keinen Anspruch auf vollständige Aktenführung erheben", weil bei Durchsicht der Kassenakten aufgefallen sei, dass die sog. Rentensteuerausweise betreffend die Waisenrente für den 1992 geborenen Sohn des Beschwerdegegners bis auf diejenigen für die Jahre 2001 und 2009 fehlten. Ebenso wenig seien Belege für die periodischen Erhöhungen der Waisenrente vorhanden, während hinsichtlich der Witwerrente lediglich die Erhöhungsblätter für 2005 und 2007 in den Akten lägen. Auffallend sei schliesslich, dass das Aktendossier des Beschwerdegegners unter der Bezeichnung "Firma Y." geführt werde. Die Ausgleichskasse wehrt sich in ihrer Beschwerde ans Bundesgericht gegen den vorinstanzlichen Vorwurf nicht ordnungsgemässer Aktenführung. Ihre Einwendungen sind zu hören, weil erst der angefochtene Entscheid dazu Anlass gab ( Art. 99 Abs. 1 BGG ). Zuvor wurde nämlich von keiner Seite geltend gemacht, die Art der Aktenführung durch die Kasse habe dem Beschwerdegegner die Beweisführung verunmöglicht. Die Beschwerdeführerin trägt vor, dass die Rentensteuerausweise für die Waisenrente keineswegs fehlten, sondern grundsätzlich im Aktendossier des Sohnes des Beschwerdegegners gespeichert würden, wobei nicht mehr eruiert werden könne, weshalb sich dennoch zwei dieser Ausweise (für die Jahre 2001 und 2009) im Dossier des Vaters befänden. Weiter führt die Kasse aus, dass sich die Beträge der in der Regel alle zwei Jahre der Lohn- und Preisentwicklung angepassten Renten den jeweiligen (für den Beschwerdegegner und dessen Sohn getrennt angelegten) sog. Historienblättern entnehmen liessen, welche vom elektronischen System automatisch per Ende Jahr oder bei einer manuellen Änderung erstellt würden (und alle lückenlos vorlägen). Weshalb die entsprechenden Rentenerhöhungsblätter nicht ebenfalls vollständig im elektronischen Archiv abgespeichert worden seien, lasse sich nicht nachvollziehen. Zur Aktenführung unter der Bezeichnung "Firma Y." wendet die Ausgleichskasse ein, dass der Beschwerdegegner sowohl unter seiner neuen als auch unter der alten AHV-Nummer sowie zusätzlich unter der Abrechnungsnummer seiner Arbeitgeberin erfasst sei. Aus systemimmanenten Gründen übersteuere die letztgenannte Nummer die beiden andern, weshalb das Dossierdeckblatt mit der Kundenbezeichnung "Firma Y." überschrieben werde, was sich jeweils nur manuell korrigieren lasse. BGE 138 V 218 S. 225</w:t>
      </w:r>
    </w:p>
    <w:p>
      <w:r>
        <w:rPr>
          <w:b/>
        </w:rPr>
        <w:t>E. 8.3</w:t>
      </w:r>
    </w:p>
    <w:p>
      <w:r>
        <w:t>Im Lichte vorstehender, von keiner Seite in Zweifel gezogenen Darlegung der Ausgleichskasse ist die vorinstanzliche Annahme, in den elektronisch verwalteten Unterlagen des Beschwerdegegners und seines Sohnes würden bestimmte massgebende, von der Kasse selbst zu verfertigende Belege gänzlich fehlen, offensichtlich unrichtig und ist demzufolge vom Bundesgericht zu korrigieren. Wohl sind zwei Kopien der dem Beschwerdegegner zuhanden der Steuerbehörden ausgestellten Rentensteuerausweise fälschlicherweise nicht im zutreffenden Dossier des Sohnes als Waisenrentenberechtigtem, sondern in demjenigen des Vaters abgelegt worden. Ferner werden die periodischen Anpassungen der Hinterlassenenrenten an die Lohn- und Preisentwicklung nur (aber immerhin) durch die jeweiligen Historienblätter lückenlos belegt, wogegen zusätzliche Rentenerhöhungsblätter im elektronischen Archiv nur zum Teil abgespeichert wurden. Diese geringfügigen Unzulänglichkeiten bei der Dossierverwaltung und das erwähnte Programmierungsproblem im Zusammenhang mit der Dossieranschrift rechtfertigen indessen keineswegs die vorinstanzliche - als Rechtsfrage frei überprüfbare - Schlussfolgerung, wonach die Ausgleichskasse der ihr obliegenden Aktenführungspflicht im Falle des Beschwerdegegners nicht ordnungsgemäss und vollständig nachgekommen sei und deshalb mit Bezug auf die in den Unterlagen fehlende Anzeige der Wiederverheiratung eine Umkehr der Beweislast eintrete. Bei den vorliegenden Gegebenheiten anders zu entscheiden hiesse, weit überhöhte Anforderungen an die Aktenführungspflicht der Versicherungsträger zu stellen.</w:t>
      </w:r>
    </w:p>
    <w:p>
      <w:r>
        <w:rPr>
          <w:b/>
        </w:rPr>
        <w:t>E. 9</w:t>
      </w:r>
    </w:p>
    <w:p>
      <w:r>
        <w:t>Trägt nach dem Gesagten der Beschwerdegegner die Beweislast, wirkt sich die Beweislosigkeit der von ihm geltend gemachten Mitteilung vom 7. Februar 2002 zu seinen Ungunsten aus: Es ist davon auszugehen, dass er seiner Meldepflicht hinsichtlich der neuerlichen Heirat nicht nachgekommen ist, obwohl ihn sein Steuerberater zur Mitteilung an die AHV-Behörden aufgefordert hat (vgl. E. 5 hievor). Unter diesen Umständen muss eine zumindest grobfahrlässige Meldepflichtverletzung angenommen werden, welche den guten Glauben als Erlassvoraussetzung von vornherein ausschliesst (in vorstehender E. 4 wiedergegebene Rechtsprechung). Entgegen der Auffassung des kantonalen Gerichts könnte auch nicht als bloss leichte Fahrlässigkeit gewertet werden, wenn der Beschwerdegegner das geltend gemachte Schreiben vom 7. Februar 2002 zwar verfasst, versehentlich aber gar nicht der Post übergeben oder an eine falsche Adresse versandt hätte (obwohl die eingereichte Kopie des fraglichen Schreibens selber die zutreffende Anschrift der Ausgleichskasse trägt). BGE 138 V 218 S. 226</w:t>
      </w:r>
    </w:p>
    <w:p>
      <w:r>
        <w:rPr>
          <w:b/>
        </w:rPr>
        <w:t>E. 10</w:t>
      </w:r>
    </w:p>
    <w:p>
      <w:r>
        <w:t>Im Übrigen änderte sich an diesem Ergebnis selbst dann nichts, wenn der Brief vom 7. Februar 2002 seine bestimmungsgemässe Empfängerin gefunden haben sollte, d.h. wenn der Meldepflicht hinsichtlich der Zivilstandsänderung seinerzeit nachgelebt worden wäre: Man kann als wiederum Verheirateter nicht gutgläubig über Jahre hinweg weiterhin eine Witwerrente beziehen, ohne bei der Ausgleichskasse je nachgefragt zu haben, ob die Anzeige der neuerlichen Eheschliessung eingegangen und die Weiterausrichtung der Rente tatsächlich rechtens sei. Für jedermann ist nämlich einsichtig, dass der neue Zivilstand den alten ersetzt, an welchen der Bezug der Witwerrente, allein schon dem Namen nach, gebunden war (vgl. RDAT 1999 I Nr. 70 S. 275, H 183/98 E. 4a). Es verhält sich nicht wesentlich anders als bei der auch nach dem Tod des Ehemannes (und der damit verbundenen Erhöhung des AHV-Rentenanspruchs) unverändert ausgerichteten Ergänzungsleistung (EL). In diesem Zusammenhang hat die Rechtsprechung den guten Glauben der nunmehr verwitweten Ehefrau beim unrechtmässigen Bezug der zu hohen EL-Betreffnisse ebenfalls verneint (Urteil des Eidg. Versicherungsgerichts P 18/75 vom 30. August 1976 E. 3, nicht publ. in: BGE 102 V 245 ).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