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265</w:t>
      </w:r>
    </w:p>
    <w:p>
      <w:r>
        <w:t>Bundesgericht (BGE), 2012-08-31, DE</w:t>
      </w:r>
    </w:p>
    <w:p>
      <w:r>
        <w:rPr>
          <w:b/>
        </w:rPr>
        <w:t xml:space="preserve">Quelle: </w:t>
      </w:r>
      <w:r>
        <w:t>https://mcp.opencaselaw.ch/entscheid/bge_BGE_138_I_265</w:t>
      </w:r>
    </w:p>
    <w:p>
      <w:r>
        <w:t>FR: ATF 138 I 265</w:t>
      </w:r>
    </w:p>
    <w:p>
      <w:r>
        <w:t>IT: DTF 138 I 265</w:t>
      </w:r>
    </w:p>
    <w:p>
      <w:pPr>
        <w:pStyle w:val="Heading2"/>
      </w:pPr>
      <w:r>
        <w:t>Regeste</w:t>
      </w:r>
    </w:p>
    <w:p>
      <w:r>
        <w:t>Regeste Art. 8 Abs. 1-3 BV; Art. 25a Abs. 5 KVG; Art. 25d Abs. 1 der Verordnung des Kantons Bern über die öffentliche Sozialhilfe (Sozialhilfeverordnung, SHV); abstrakte Normenkontrolle. Die Regelung von Art. 25d Abs. 1 SHV, wonach Leistungsempfängerinnen und Leistungsempfänger, die das 65. Altersjahr vollendet haben, sich im Rahmen ihrer finanziellen Leistungsfähigkeit an den Pflegekosten beteiligen, ist weder alters- noch geschlechterdiskriminierend (E. 4-6).</w:t>
      </w:r>
    </w:p>
    <w:p>
      <w:r>
        <w:t>Regeste Art. 8 al. 1-3 Cst.; art. 25a al. 5 LAMal; art. 25d al. 1 de l'ordonnance sur l'aide sociale du canton de Berne (OASoc); contrôle abstrait des normes. La règle de l'art. 25d al. 1 OASoc, selon laquelle les bénéficiaires de prestations ayant atteint l'âge de 65 ans révolus participent aux coûts dans la mesure de leur capacité financière, n'est discriminatoire ni quant à l'âge, ni à raison du sexe (consid. 4-6).</w:t>
      </w:r>
    </w:p>
    <w:p>
      <w:r>
        <w:t>Regesto Art. 8 cpv. 1-3 Cost.; art. 25a cpv. 5 LAMal; art. 25d cpv. 1 dell'ordinanza sull'assistenza sociale del Canton Berna; controllo astratto delle norme. La regolamentazione dell'art. 25d cpv. 1 dell'ordinanza sull'assistenza sociale del Canton Berna secondo la quale i beneficiari e le beneficiarie di prestazioni che hanno compiuto i 65 anni partecipano ai costi di cura nella misura della loro capacità finanziaria non comporta alcuna discriminazione a causa del sesso o dell'età (consid. 4-6).</w:t>
      </w:r>
    </w:p>
    <w:p>
      <w:pPr>
        <w:pStyle w:val="Heading2"/>
      </w:pPr>
      <w:r>
        <w:t>Erwägungen</w:t>
      </w:r>
    </w:p>
    <w:p>
      <w:r>
        <w:rPr>
          <w:b/>
        </w:rPr>
        <w:t>E. 4</w:t>
      </w:r>
    </w:p>
    <w:p>
      <w:r>
        <w:t>Der Beschwerdeführer wendet ein, Art. 25d Abs. 1 SHV führe zu einer Altersungleichbehandlung/Altersdiskriminierung ( Art. 8 Abs. 1 und 2 BV ). BGE 138 I 265 S. 267</w:t>
      </w:r>
    </w:p>
    <w:p>
      <w:r>
        <w:rPr>
          <w:b/>
        </w:rPr>
        <w:t>E. 4.1</w:t>
      </w:r>
    </w:p>
    <w:p>
      <w:r>
        <w:t>Ein Erlass verletzt das Gebot der Rechtsgleichheit, wenn er rechtliche Unterscheidungen trifft, für die ein vernünftiger Grund in den zu regelnden Verhältnissen nicht ersichtlich ist, oder Unterscheidungen unterlässt, die sich aufgrund der Verhältnisse aufdrängen ( BGE 136 II 120 E. 3.3.2 S. 127 mit Hinweisen). Dem Gesetzgeber bleibt im Rahmen dieser Grundsätze und des Willkürverbots ein weiter Spielraum der Gestaltung, den das Bundesgericht nicht durch eigene Gestaltungsvorstellungen schmälert ( BGE 136 I 1 E. 4.1 S. 5; BGE 134 I 23 E. 9.1 S. 42 mit Hinweisen). Leitbild ist eine grundsätzlich differenzierte Ordnung (YVO HANGARTNER, Diskriminierung - ein neuer verfassungsrechtlicher Begriff, ZSR 122/2003 I S. 97 ff., insbesondere S. 110 f.; Urteil 8C_1074/2009 vom 2. Dezember 2010 E. 3.4.1).</w:t>
      </w:r>
    </w:p>
    <w:p>
      <w:r>
        <w:rPr>
          <w:b/>
        </w:rPr>
        <w:t>E. 4.2.1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lehnt sich in den Grundzügen an die internationalen Grundrechtsgarantien an, wie sie insbesondere in Art. 14 EMRK und verschiedenen Bestimmungen des UNO-Paktes II (SR 0.103.2) enthalten sind (vgl. MÜLLER/SCHEFER, Grundrechte in der Schweiz, 4. Aufl. 2008, S. 679; RAINER J. SCHWEIZER, in: Die schweizerische Bundesverfassung, Kommentar, Ehrenzeller und andere [Hrsg.], 2. Aufl. 2008, N. 43 zu Art. 8 BV ; HANGARTNER, a.a.O., S. 98 f.). Indessen macht das Diskriminierungsverbot die Anknüpfung an ein gemäss Art. 8 Abs. 2 BV verpöntes Merkmal nicht absolut unzulässig. Vielmehr begründet dieser Umstand zunächst den blossen Verdacht einer unzulässigen Differenzierung, der nur durch eine genügende Rechtfertigung umgestossen werden kann. Das Diskriminierungsverbot hat also rechtlich die Bedeutung, dass ungleiche Behandlungen einer besonders qualifizierten Begründungspflicht unterstehen ( BGE 136 I 121 E. 5.2 S. 127; BGE 135 I 49 E. 4.1 S. 53; BGE 129 I 392 E. 3.2.2 S. 397; Urteil 8C_169/2009 vom 28. Juli 2009 E. 4.2.1; je mit Hinweisen). Anders als beim allgemeinen Gleichheitsgebot (vgl. vorstehende E. 4.1 i.f.) ist somit im Bereich der für das Diskriminierungsverbot typischen Anknüpfungstatbestände die absolute Gleichbehandlung der Normalfall, die Differenzierung die Ausnahme (Urteil 8C_1074/2009 E. 3.4.2).</w:t>
      </w:r>
    </w:p>
    <w:p>
      <w:r>
        <w:rPr>
          <w:b/>
        </w:rPr>
        <w:t>E. 4.2.2</w:t>
      </w:r>
    </w:p>
    <w:p>
      <w:r>
        <w:t>Art. 8 Abs. 2 BV verbietet nicht nur die direkte, sondern auch die indirekte Diskriminierung. Letztere ist dann gegeben, wenn eine BGE 138 I 265 S. 268 Regelung, die keine offensichtliche Benachteiligung von spezifisch gegen Diskriminierung geschützter Gruppen enthält, in ihren tatsächlichen Auswirkungen Angehörige einer solchen Gruppe besonders stark benachteiligt, ohne dass dies sachlich begründet wäre ( BGE 136 I 297 E. 7.1 S. 306). Angesichts der Schwierigkeit, für alle Fälle generell und abstrakt den Umfang des Eingriffs zu definieren, den die erlittene Verletzung für eine durch Art. 8 Abs. 2 BV geschützte Gruppe im Vergleich zur Mehrheit der Bevölkerung erreichen darf, kann die Erkennung einer Diskriminierung nur aus einer Gesamtabwägung aller Umstände des Einzelfalls resultieren. Auf jeden Fall muss der Eingriff eine signifikante Bedeutung erreichen; das indirekte Diskriminierungsverbot kann nur dazu dienen, die offenkundigsten negativen Auswirkungen einer staatlichen Regelung zu korrigieren ( BGE 138 I 205 E. 5.5 S. 213 f. mit Hinweisen).</w:t>
      </w:r>
    </w:p>
    <w:p>
      <w:r>
        <w:rPr>
          <w:b/>
        </w:rPr>
        <w:t>E. 4.3</w:t>
      </w:r>
    </w:p>
    <w:p>
      <w:r>
        <w:t>Die Lehre unterscheidet jedoch zu Recht zwischen den einzelnen in Art. 8 Abs. 2 BV genannten Kriterien. Während bei Anknüpfungstatbeständen wie dem Geschlecht, der Rasse, der Religion u.Ä. eine Differenzierung im oben (E. 4.2.1) dargelegten Sinn im Prinzip unzulässig ist und einer besonderen Rechtfertigung bedarf, ist insbesondere das Kriterium Alter anderer Natur. Es knüpft nicht an eine historisch schlechtergestellte oder politisch ausgegrenzte Gruppe an. Hier handelt es sich daher um einen atypischen Diskriminierungstatbestand, der sich in der praktischen Anwendung dem allgemeinen Gleichheitssatz von Art. 8 Abs. 1 BV nähert (HANGARTER, a.a.O., S. 110; BERNHARD WALDMANN, Das Diskriminierungsverbot von Art. 8 Abs. 2 BV als besonderer Gleichheitssatz, 2003, S. 327 und 733; SCHWEIZER, a.a.O., N. 48 zu Art. 8 BV ). Ein Teil der Lehre geht denn auch davon aus, dass bezüglich des Alters praktisch kein Unterschied zum Schutz gemäss Art. 8 Abs. 1 BV besteht (JÖRG PAUL MÜLLER, Die Diskriminierungsverbote nach Art. 8 Abs. 2 der neuen Bundesverfassung, in: Die neue Bundesverfassung, 2000, S. 103 ff., insbesondere S. 120; PASCAL MAHON, in: Petit commentaire de la Constitution fédérale de la Confédération suisse, Aubert/Mahon [Hrsg.], 2003, N. 16 zu Art. 8 BV ; ETIENNE GRISEL, Egalité, Les garanties de la Constitution fédérale du 18 avril 1999, 2000, S. 78 f.). Ein anderer Teil nimmt an, mit Bezug auf die Gründe, die eine Schlechterstellung wegen des Alters rechtfertigen können, gehe Art. 8 Abs. 2 BV nicht über die Anforderungen des allgemeinen Gleichheitssatzes hinaus; hingegen soll im Rahmen der Verhältnismässigkeitsprüfung ein etwas strikterer Massstab gelten, um so dem mit Art. 8 Abs. 2 BV gewollten höheren Schutz Rechnung zu tragen (SCHEFER/RHINOW, Zulässigkeit von Altersgrenzen für BGE 138 I 265 S. 269 politische Ämter aus Sicht der Grundrechte, Gutachten im Auftrag des Schweizerischen Seniorenrats, Jusletter 7. April 2003, Rz. 60 f.; wohl auch HANGARTNER, a.a.O., S. 116 und VINCENT MARTENET, Géométrie de l'égalité, 2003, Rz. 898). Von Letzterem ist auszugehen. Nachfolgend ist somit zu prüfen, ob der kantonale Erlass in unverhältnismässiger Weise Unterscheidungen trifft, die sachlich nicht gerechtfertigt werden können (Urteil 8C_1074/2009 E. 3.4.3).</w:t>
      </w:r>
    </w:p>
    <w:p>
      <w:r>
        <w:rPr>
          <w:b/>
        </w:rPr>
        <w:t>E. 5.1</w:t>
      </w:r>
    </w:p>
    <w:p>
      <w:r>
        <w:t>Die in Art. 25d Abs. 1 SHV statuierte Altersgrenze von 65 Jahren für die Patientenbeteiligung im Krankheitsfall an den Kosten der ambulanten Pflege gemäss Art. 25a Abs. 5 KVG ist - wie die folgenden Erwägungen zeigen - nicht diskriminierend: Sie steht im Einklang mit der Zielsetzung des KVG, mit einer Limitierung der Kostenbeteiligung den Schutz der Betroffenen vor Verarmung zu gewährleisten (vgl. GEBHARD EUGSTER, Bundesgesetz über die Krankenversicherung [KVG], 2010, N. 13 zu Art. 25a KVG ). Die Kantone sind innerhalb des bundesgesetzlichen Rahmens frei, weitere Abstufungen vorzunehmen. Das Rechtsgleichheitsprinzip schliesst nicht aus, dass die einzelnen Kantone zur gleichen Materie unterschiedliche Regelungen erlassen: dies ist eine Folge der föderalistischen Staatsstruktur ( BGE 136 I 1 E. 4.4.4 S. 12). Beispielhaft seien die Regelungen von folgenden drei anderen Kantonen angeführt: - Kanton Zürich: § 9 des Pflegegesetzes vom 27. September 2010 (LS 855.1) statuiert Folgendes: Die Kosten der Pflegeleistungen gehen im von der Bundesgesetzgebung über die Sozialversicherung vorgeschriebenen Umfang zulasten der Versicherer (Abs. 1). Die verbleibenden Kosten werden bei Pflegeleistungen von Pflegeheimen im gemäss Art. 25a Abs. 5 KVG höchstzulässigen Umfang und bei Pflegeleistungen ambulanter Leistungserbringer zur Hälfte des höchstzulässigen Umfangs den Leistungsbezügerinnen und -bezügern überbunden. Für Personen bis zum vollendeten 18. Altersjahr wird keine entsprechende Kostenbeteiligung erhoben. - Kanton Luzern: Gemäss § 5 des Gesetzes vom 13. September 2010 über die Finanzierung der Pflegeleistungen der Krankenversicherung (Pflegefinanzierungsgesetz; SRL 867) leistet die anspruchsberechtigte Person einen Beitrag an die Kosten der ambulanten Krankenpflege oder der Krankenpflege im Pflegeheim, soweit diese nicht von Sozialversicherungen gedeckt sind, BGE 138 I 265 S. 270 höchstens jedoch von 20 Prozent des höchsten vom Bund für die Krankenversicherer festgesetzten Pflegebeitrages pro Tag (Abs. 1); für die ambulante Krankenpflege von Kindern und Jugendlichen bis zum vollendeten 18. Altersjahr ist kein Beitrag geschuldet (Abs. 2). - Kanton Freiburg: Laut Art. 2 Abs. 1 des Ausführungsgesetzes vom 9. Dezember 2010 zum Bundesgesetz über die Neuordnung der Pflegefinanzierung (SGF 820.6) wird bei Leistungen, die von einem Pflegeheim erbracht werden, der von der obligatorischen Krankenversicherung nicht übernommene Kostenanteil der im Heim untergebrachten Person in Rechnung gestellt, und zwar bis höchstens 20 % des für die einzelnen Pflegestufen festgelegten Beitrags der Krankenversicherer. Art. 3 dieses Gesetzes statuiert Folgendes: Von der obligatorischen Krankenversicherung nicht übernommene Kosten für Pflegeleistungen, die von einer Organisation der Hilfe und Pflege zu Hause mit Leistungsauftrag nach dem Gesetz über die Hilfe und Pflege zu Hause erbracht werden, werden nach Artikel 16 des Gesetzes vom 8. September 2005 über die Hilfe und Pflege zu Hause finanziert (Abs. 1). Von der obligatorischen Krankenversicherung nicht übernommene Kosten für Pflegeleistungen, die von anderen Organisationen der Hilfe und Pflege zu Hause erbracht werden, werden den Patientinnen und Patienten zu höchstens 20 % des Beitrags der Krankenversicherer in Rechnung gestellt. Die Restkosten gehen zulasten des Staates (Abs. 2).</w:t>
      </w:r>
    </w:p>
    <w:p>
      <w:r>
        <w:rPr>
          <w:b/>
        </w:rPr>
        <w:t>E. 5.2.1</w:t>
      </w:r>
    </w:p>
    <w:p>
      <w:r>
        <w:t>Der Kanton Bern hat im Rahmen der KVG-Vorgabe zwei Kriterien für die Beteiligung an den Kosten für die ambulante Pflege aufgenommen, nämlich das Alter und die wirtschaftliche Leistungsfähigkeit der betroffenen Person. Dass die wirtschaftliche Leistungsfähigkeit ein geeignetes Kriterium im Rahmen des gesetzlichen Schutzgedankens darstellt, ist offensichtlich und wird nicht bestritten. Betroffen von der Kostenbeteiligung sind Personen ab 65 Jahren, die ein massgebendes Einkommen von mehr als Fr. 50'000.- pro Jahr erzielen; erst ab einem massgebenden Einkommen von mehr als Fr. 100'000.- schulden sie die maximale Kostenbeteiligung nach Art. 25a Abs. 5 KVG (Art. 25d Abs. 3-6 SHV). Die Differenzierung liegt mithin darin, dass die unter 65-jährigen Personen unabhängig von ihrer Einkommens- und Vermögenssituation von der Kostenbeteiligung befreit sind. BGE 138 I 265 S. 271</w:t>
      </w:r>
    </w:p>
    <w:p>
      <w:r>
        <w:rPr>
          <w:b/>
        </w:rPr>
        <w:t>E. 5.2.2</w:t>
      </w:r>
    </w:p>
    <w:p>
      <w:r>
        <w:t>Das Alter 65 als zusätzliche Limitierung ist ebenfalls ein sachbezogenes Kriterium, weil ab diesem Zeitpunkt fast alle Personen über eine Rente der Alters- und Hinterlassenenversicherung (AHV) verfügen. Bei einen Grossteil dieser Personen kommt noch die Rente aus der beruflichen Vorsorge dazu. Reichen diese Einkommen und allfälliges Vermögen zur sozialen Absicherung nicht aus, erhalten sie nötigenfalls Ergänzungsleistungen (EL) zur AHV-Rente. Die EL decken insbesondere auch allfällige Pflegekosten ab. Damit ist dafür gesorgt, dass diese Personen wegen einer Pflegekostenbeteiligung nicht der Fürsorge zur Last fallen. Dies ist bei den unter 65-jährigen Personen nicht der Fall. Sie sind im Krankheitsfall - für welchen Art. 25a KVG und Art. 25d Abs. 1 SHV gelten - vielfach nicht durch Leistungen anderer Sozialversicherungszweige abgedeckt, weshalb sie Gefahr laufen, ihre Lebenshaltungskosten nicht mehr decken zu können. Art. 25d Abs. 1 SHV beinhaltet somit keine generelle Benachteiligung der über 65-jährigen Personen, sondern eine Berücksichtigung der unterschiedlichen Einkommens- und Vermögenssituation von Personen in verschiedenen Lebensphasen. Entgegen der Auffassung des Beschwerdeführers erweist sich die Regelung als sachlich gerechtfertigt und verhältnismässig (vgl. E. 4.3 hievor); der Schutz vor Verarmung wird damit in geeigneter, erforderlicher und für die Betroffenen zumutbarer Weise erreicht (zum Verhältnismässigkeitsprinzip vgl. BGE 136 I 87 E. 3.2 S. 91 f.). Sie werden durch die sachlich begründete Altersgrenze insbesondere nicht menschenunwürdig, demütigend oder erniedrigend behandelt, d.h. in ihrer Wertschätzung als Person herabgesetzt (vgl. BGE 126 II 377 E. 6a S. 392 f.; BGE 116 V 198 E. 2a/bb S. 207 f.; Urteil 2A.292/2004 vom 7. Juni 2004 E. 2.2.2). Sämtliche Einwendungen des Beschwerdeführers vermögen an diesem Ergebnis nichts zu ändern.</w:t>
      </w:r>
    </w:p>
    <w:p>
      <w:r>
        <w:rPr>
          <w:b/>
        </w:rPr>
        <w:t>E. 5.3</w:t>
      </w:r>
    </w:p>
    <w:p>
      <w:r>
        <w:t>Der Beschwerdeführer macht weiter geltend, bei den über 65-jährigen Personen müssten sich die SPITEX-Organisationen im Lichte von Art. 25d Abs. 3-6 SHV die vollständige Information über ihre Einkommens- und Vermögensverhältnisse beschaffen; gestützt auf Art. 8c (in Kraft seit 1. Januar 2012) des Gesetzes des Kantons Bern vom 11. Juni 2001 über die öffentliche Sozialhilfe (Sozialhilfegesetz, SHG; BSG 860.1) dürften sie dies auch. Dies stelle für die Betroffenen eine Stigmatisierung dar. Hierzu ist Folgendes festzuhalten: Gemäss Art. 25d Abs. 5 SHV müssen die betroffenen Personen nicht ihre gesamte Einkommens- und Vermögenslage, sondern nur ihr steuerbares Einkommen und Vermögen deklarieren. Im Kanton BGE 138 I 265 S. 272 Bern werden die steuerbaren Einkommen und Vermögen der Steuerpflichtigen in einem öffentlichen Steuerregister aufgeführt (Art. 164 des bernischen Steuergesetzes vom 21. Mai 2000 [StG; BSG 661.11]). Zwar kann die steuerpflichtige Person die Bekanntgabe von Steuerdaten sperren lassen, was aber nur bei überwiegenden öffentlichen Interessen möglich ist (z.B. bei prominenten Personen mit entsprechendem Gefährdungspotential). Auch kann die Sperrung für die Veröffentlichung verlangt werden (d.h. keine öffentliche Auflage und keine Liste); die Pflicht der Gemeinde zur Auskunft auf Einzelanfragen hin bleibt dabei aber bestehen (vgl. Öffentlichkeit des Steuerregisters von natürlichen Personen, TaxInfo der Finanzdirektion des Kantons Bern vom 29. Juni 2012 http:/www.taxinfo.sv.fin.be.ch ). Im Lichte dieser Regelung kann die Pflicht zur Bekanntgabe des steuerbaren Einkommens und Vermögens an die SPITEX-Organisationen nicht als stigmatisierend angesehen werden.</w:t>
      </w:r>
    </w:p>
    <w:p>
      <w:r>
        <w:rPr>
          <w:b/>
        </w:rPr>
        <w:t>E. 6</w:t>
      </w:r>
    </w:p>
    <w:p>
      <w:r>
        <w:t>Der Beschwerdeführer macht weiter eine inhärente Geschlechterdiskriminierung nach Art. 8 Abs. 3 BV geltend.</w:t>
      </w:r>
    </w:p>
    <w:p>
      <w:r>
        <w:rPr>
          <w:b/>
        </w:rPr>
        <w:t>E. 6.1</w:t>
      </w:r>
    </w:p>
    <w:p>
      <w:r>
        <w:t>Mit der Annahme von Art. 4 Abs. 2 aBV - seit 1. Januar 2000: Art. 8 Abs. 3 BV - hat der Verfassungsgeber autoritativ festgestellt, dass die Zugehörigkeit zum einen oder andern Geschlecht grundsätzlich keinen rechtserheblichen Aspekt darstellt. Mann und Frau haben somit für die ganze Rechtsordnung im Wesentlichen als gleich zu gelten. Das Bundesgericht hat daher wiederholt erklärt, seit dem Inkrafttreten von Art. 4 Abs. 2 aBV sei es dem kantonalen wie auch dem eidgenössischen Gesetzgeber grundsätzlich verwehrt, Normen zu erlassen, welche Mann und Frau ungleich behandeln; die erwähnte Verfassungsbestimmung schliesse die Geschlechtszugehörigkeit als taugliches Kriterium für rechtliche Differenzierungen aus (z.B. BGE 134 V 131 E. 7.1 S. 136 mit Hinweisen). Eine unterschiedliche Behandlung von Mann und Frau sei nur noch zulässig, wenn auf dem Geschlecht beruhende biologische oder funktionale Unterschiede eine Gleichbehandlung absolut ausschlössen ( BGE 108 Ia 22 E. 5a S. 29 und seitherige Rechtsprechung). Der Vorbehalt funktionaler Unterschiede in der bundesgerichtlichen Rechtsprechung - biologische Unterschiede fallen vorliegend zum Vornherein ausser Betracht - bedeutet insbesondere nicht, dass überkommenen Rollenverständnissen, so sie denn heute noch der Realität entsprechen, ohne Weiteres auch in Zukunft rechtliche Relevanz verliehen werden dürfte (Urteil 9C_617/2011 vom 4. Mai 2012 E. 3.4 mit weiteren Hinweisen). BGE 138 I 265 S. 273</w:t>
      </w:r>
    </w:p>
    <w:p>
      <w:r>
        <w:rPr>
          <w:b/>
        </w:rPr>
        <w:t>E. 6.2</w:t>
      </w:r>
    </w:p>
    <w:p>
      <w:r>
        <w:t>Der Beschwerdeführer bringt vor, die Altersgrenze von 65 Jahren sei in Art. 25d Abs. 1 SHV vermutlich in der Annahme gewählt worden, dies entspreche dem Beginn des ordentlichen Rentenalters. Indessen trete dieses bei Frauen mit 64 und bei Männern mit 65 Jahren ein ( Art. 21 Abs. 1 AHVG ). Mithin würden Frauen gegenüber Männern im ersten Rentenjahr bevorzugt behandelt. Man hätte die Altersgrenze strikt beim Rentenalter nach Art. 21 Abs. 1 AHVG ansetzen müssen. Die Tatsache, dass sich die Frauen nicht bereits ab Eintritt des Rentenalters an den Pflegekosten im ambulanten Bereich beteiligen müssen, stellt keine Diskriminierung im Sinne des Art. 8 Abs. 3 BV dar. Eine solche läge nur vor, wenn die Kostenpflicht für Frauen und Männer ab dem 64. Altersjahr begänne: Diesfalls wären die 64-jährigen, nicht AHV-rentenberechtigten Männer diskriminiert. Anzufügen ist, dass die wirtschaftlichen Verhältnisse von 64-jährigen Frauen in der Regel schlechter sind als diejenigen der Männer, da ihnen im privaten Sektor bis heute durchschnittlich tiefere Löhne ausbezahlt werden (vgl. Schweizerische Lohnstrukturerhebung des Bundesamtes für Statistik [LSE] 2010, Tabelle TA1); dies führt zu tieferen Leistungen aus der 2. und 3. Säule.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