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242</w:t>
      </w:r>
    </w:p>
    <w:p>
      <w:r>
        <w:t>Bundesgericht (BGE), 2012-06-12, DE</w:t>
      </w:r>
    </w:p>
    <w:p>
      <w:r>
        <w:rPr>
          <w:b/>
        </w:rPr>
        <w:t xml:space="preserve">Quelle: </w:t>
      </w:r>
      <w:r>
        <w:t>https://mcp.opencaselaw.ch/entscheid/bge_BGE_138_I_242</w:t>
      </w:r>
    </w:p>
    <w:p>
      <w:r>
        <w:t>FR: ATF 138 I 242</w:t>
      </w:r>
    </w:p>
    <w:p>
      <w:r>
        <w:t>IT: DTF 138 I 242</w:t>
      </w:r>
    </w:p>
    <w:p>
      <w:pPr>
        <w:pStyle w:val="Heading2"/>
      </w:pPr>
      <w:r>
        <w:t>Regeste</w:t>
      </w:r>
    </w:p>
    <w:p>
      <w:r>
        <w:t>Regeste Einbürgerungsangelegenheiten. Den kommunalen Bürgerversammlungen kommt ein weiter Ermessensspielraum zu und von einer gesuchstellenden Person kann eine "gewisse lokale Integration" verlangt werden. Dies rechtfertigt es jedoch nicht, die Mitgliedschaft in Vereinen oder anderen Organisationen zum einzig ausschlaggebenden Integrationsmerkmal zu erheben, denn damit würde das Wesen der Integration, das in einer allmählichen Angleichung an die schweizerischen Gewohnheiten besteht, verkannt (E. 5.3).</w:t>
      </w:r>
    </w:p>
    <w:p>
      <w:r>
        <w:t>Regeste Naturalisation. Les assemblées communales disposent d'un large pouvoir d'appréciation et il peut être exigé du requérant une "certaine intégration locale". Il ne se justifie toutefois pas de faire de l'affiliation à des associations ou autres organisations le seul critère d'intégration déterminant; cela reviendrait à méconnaître la notion de l'intégration, qui consiste en une assimilation progressive aux habitudes suisses (consid. 5.3).</w:t>
      </w:r>
    </w:p>
    <w:p>
      <w:r>
        <w:t>Regesto Naturalizzazione. Le assemblee comunali dispongono di un ampio potere di apprezzamento e possono esigere dal richiedente una "certa integrazione locale". Non si giustifica tuttavia di fare assurgere l'affiliazione ad associazioni o ad altre organizzazioni ad unico criterio d'integrazione determinante, poiché ciò misconoscerebbe l'essenza dell'integrazione, che consiste in un'assimilazione graduale alle consuetudini svizzere (consid. 5.3).</w:t>
      </w:r>
    </w:p>
    <w:p>
      <w:pPr>
        <w:pStyle w:val="Heading2"/>
      </w:pPr>
      <w:r>
        <w:t>Erwägungen</w:t>
      </w:r>
    </w:p>
    <w:p>
      <w:r>
        <w:rPr>
          <w:b/>
        </w:rPr>
        <w:t>E. 5.1</w:t>
      </w:r>
    </w:p>
    <w:p>
      <w:r>
        <w:t>Die Beschwerdeführerin rügt eine Verletzung der Gemeindeautonomie. Aus Sicht der Bürgerversammlung seien die Mitgliedschaft in einem Verein oder die sonstige Teilnahme am Dorfleben entscheidend, damit von einer besonderen lokalen Integration gesprochen werden könne. Aus subjektiver Sicht der Beschwerdegegnerin möge es zwar zutreffen, dass sie keine Zeit für diese Aktivitäten habe, dies ändere jedoch nichts daran, dass die Bürgerversammlung solche erwarten dürfe. Indem die Vorinstanz andere Argumente in den Vordergrund gerückt habe, habe sie eine Ermessenskontrolle vorgenommen und hierdurch in unzulässiger Weise in den Beurteilungsspielraum der Gemeinde eingegriffen.</w:t>
      </w:r>
    </w:p>
    <w:p>
      <w:r>
        <w:rPr>
          <w:b/>
        </w:rPr>
        <w:t>E. 5.2</w:t>
      </w:r>
    </w:p>
    <w:p>
      <w:r>
        <w:t>Art. 50 Abs. 1 BV gewährleistet die Gemeindeautonomie nach Massgabe des kantonalen Rechts. Gemäss Art. 89 Abs. 1 KV/SG (SR 131.225) ist die Gemeinde autonom, soweit das Gesetz ihre Entscheidungsfreiheit nicht einschränkt.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BGE 138 I 242 S. 245 Verfassungs- und Gesetzesrecht ( BGE 136 I 265 E. 2.1 S. 269, BGE 136 I 395 E. 3.2.1 S. 398; BGE 135 I 233 E. 2.2 S. 241 f.; je mit Hinweisen). Die Anwendung von eidgenössischem und kantonalem Verfassungsrecht prüft das Bundesgericht mit freier Kognition, die Handhabung von Gesetzes- und Verordnungsrecht unter dem Gesichtswinkel des Willkürverbots ( BGE 137 I 235 E. 2.2 S. 237; BGE 136 I 265 E. 2.3 S. 270; BGE 135 I 302 E. 1 S. 305).</w:t>
      </w:r>
    </w:p>
    <w:p>
      <w:r>
        <w:rPr>
          <w:b/>
        </w:rPr>
        <w:t>E. 5.3</w:t>
      </w:r>
    </w:p>
    <w:p>
      <w:r>
        <w:t>Die Voraussetzungen an die Eignung einer Person zur Einbürgerung sind in Art. 14 BüG umschrieben (vgl. auch Art. 38 Abs. 2 BV ). Die Kantone sind daher in der Ausgestaltung der Einbürgerungsvoraussetzungen insoweit frei, als sie hinsichtlich der Wohnsitzerfordernisse oder der Eignung Konkretisierungen vornehmen können. Nach dem kantonalen Recht sind namentlich der Wille zur Teilnahme am Wirtschaftsleben und die sozialen Beziehungen am Arbeitsplatz und in der Nachbarschaft als Merkmale der Integration zu betrachten. Die Beschwerdeführerin bestreitet dies nicht, sieht aber die Mitgliedschaft in Vereinen oder anderen Gemeindeorganisationen als entscheidend an, um von einer genügenden lokalen Integration sprechen zu können. Dieser Auffassung kann nicht gefolgt werden. Zwar kommt den Bürgerversammlungen nach der kantonalen Praxis ein weiter Ermessensspielraum zu und kann von einer Gesuchstellerin eine "gewisse lokale Integration" verlangt werden. Das rechtfertigt es jedoch nicht, die Mitgliedschaft in Vereinen oder anderen Organisationen letztlich zum ausschlaggebenden Integrationsmerkmal zu erheben und dabei die speziellen Umstände, unter denen die Beschwerdegegnerin lebt, auszublenden. Damit würde das Wesen der Integration, das von der Vorinstanz zutreffend mit einer allmählichen Angleichung an die schweizerischen Gewohnheiten umschrieben wird (siehe auch BGE 132 I 167 E. 4.3 S. 173), verkannt. Im Übrigen gibt es auch viele Schweizerinnen und Schweizer, die, sei es aufgrund ihres Charakters, sei es aufgrund bestimmter Lebensumstände, zurückgezogen leben und nicht aktiv auf Gemeindeebene mitwirken, deren Selbstverständnis als Bürgerinnen und Bürger dieses Landes aber deswegen nicht in Frage steht. Der Argumentation der Beschwerdeführerin liegt mithin ein einseitiger und damit unhaltbarer Integrationsbegriff zugrunde. Zusammenfassend ist festzuhalten, dass die Vorinstanz, indem sie neben den Sprachkenntnissen der Beschwerdegegnerin insbesondere auch deren erfolgreiche Eingliederung in den Arbeitsprozess und die BGE 138 I 242 S. 246 von ihr in hohem Mass wahrgenommene Eigenverantwortung in Bezug auf die Bestreitung ihres Lebensunterhalts wie auch hinsichtlich der Betreuung ihres behinderten Sohns entscheidend gewichtet hat, nicht in den Beurteilungsspielraum der Gemeinde eingegriffen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