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81</w:t>
      </w:r>
    </w:p>
    <w:p>
      <w:r>
        <w:t>Bundesgericht (BGE), 2012-04-19, FR</w:t>
      </w:r>
    </w:p>
    <w:p>
      <w:r>
        <w:rPr>
          <w:b/>
        </w:rPr>
        <w:t xml:space="preserve">Quelle: </w:t>
      </w:r>
      <w:r>
        <w:t>https://mcp.opencaselaw.ch/entscheid/bge_BGE_138_IV_81</w:t>
      </w:r>
    </w:p>
    <w:p>
      <w:r>
        <w:t>FR: ATF 138 IV 81</w:t>
      </w:r>
    </w:p>
    <w:p>
      <w:r>
        <w:t>IT: DTF 138 IV 81</w:t>
      </w:r>
    </w:p>
    <w:p>
      <w:pPr>
        <w:pStyle w:val="Heading2"/>
      </w:pPr>
      <w:r>
        <w:t>Regeste</w:t>
      </w:r>
    </w:p>
    <w:p>
      <w:r>
        <w:t>Regeste Art. 3 Abs. 2 lit. c, Art. 226 Abs. 2 und Art. 232 StPO; Art. 29 Abs. 2 BV; Haftanordnung des Berufungsgerichts; Begründungsanforderungen. Obwohl nach Art. 232 StPO die Verfahrensleitung, d.h. der Präsident des Berufungsgerichts zur Anordnung der Sicherheitshaft zuständig ist, kann darüber auch das Berufungsgericht in corpore entscheiden (E. 2.1). Der Entscheid muss den Anforderungen des analog anwendbaren Art. 226 Abs. 2 StPO genügen. Für die Begründung sind die aus dem Anspruch auf rechtliches Gehör gemäss Art. 29 Abs. 2 BV und Art. 3 Abs. 2 lit. c StPO abgeleiteten Regeln massgebend (E. 2.2). Mit diesen Anforderungen nicht vereinbar ist die Haftanordnung im Dispositiv eines Berufungsentscheids, dessen Begründung drei Wochen später zugestellt wird (E. 2.3). Folgen der Verletzung der Begründungspflicht (E. 2.4). Wird die Haft im Rahmen eines Berufungsentscheids angeordnet, der zunächst nur im Dispositiv eröffnet wird, so muss der Haftentscheid als separate schriftliche Verfügung mit zumindest kurzer Begründung ausgefertigt werden. Diese Verfügung ist innert kürzester Frist zu eröffnen (E. 2.5).</w:t>
      </w:r>
    </w:p>
    <w:p>
      <w:r>
        <w:t>Regeste Art. 3 al. 2 let. c, art. 226 al. 2 et art. 232 CPP; art. 29 al. 2 Cst.; détention ordonnée par la juridiction d'appel; exigences de motivation. Bien que la compétence pour ordonner la détention pour des motifs de sûreté en application de l'art. 232 CPP appartienne à la direction de la procédure, soit au président de la juridiction d'appel, rien ne s'oppose à ce que la juridiction d'appel in corpore statue sur ce point (consid. 2.1). La décision est soumise aux exigences de l'art. 226 al. 2 CPP, applicable par analogie. Elle doit être motivée conformément aux règles déduites du droit d'être entendu, garanti par les art. 29 al. 2 Cst. et 3 al. 2 let. c CPP (consid. 2.2). Il n'est pas conforme à ces exigences d'ordonner la mise en détention dans le dispositif d'un jugement sur appel dont les considérants sont notifiés trois semaines plus tard (consid. 2.3). Conséquences de la violation des exigences de motivation (consid. 2.4). Si la mise en détention est ordonnée dans le cadre d'un jugement sur appel dont on ne communique dans un premier temps que le dispositif, elle doit faire l'objet d'une décision écrite séparée et au moins sommairement motivée. Cette décision sera notifiée dans les plus brefs délais (consid. 2.5).</w:t>
      </w:r>
    </w:p>
    <w:p>
      <w:r>
        <w:t>Regesto Art. 3 cpv. 2 lett. c, art. 226 cpv. 2 e art. 232 CPP; art. 29 cpv. 2 Cost.; carcerazione ordinata dal tribunale d'appello; esigenze di motivazione. Sebbene la competenza per ordinare la carcerazione di sicurezza in applicazione dell'art. 232 CPP appartenga a chi dirige il procedimento, ossia al presidente del tribunale d'appello, nulla si oppone a che il tribunale d'appello decida in corpore su questo punto (consid. 2.1). La decisione è soggetta alle esigenze dell'art. 226 cpv. 2 CPP, applicabile per analogia. Essa dev'essere motivata conformemente alle regole dedotte dal diritto di essere sentito, garantito dagli art. 29 cpv. 2 Cost. e 3 cpv. 2 lett. c CPP (consid. 2.2). Non è conforme a queste esigenze ordinare la carcerazione nel dispositivo di un giudizio d'appello i cui considerandi sono notificati tre settimane più tardi (consid. 2.3). Conseguenze della violazione delle esigenze di motivazione (consid. 2.4). Se la carcerazione è ordinata nell'ambito di un giudizio d'appello di cui in un primo tempo viene comunicato soltanto il dispositivo, essa dev'essere oggetto di una decisione scritta separata e motivata per lo meno sommariamente. Questa decisione sarà notificata entro i termini più brevi (consid. 2.5).</w:t>
      </w:r>
    </w:p>
    <w:p>
      <w:pPr>
        <w:pStyle w:val="Heading2"/>
      </w:pPr>
      <w:r>
        <w:t>Erwägungen</w:t>
      </w:r>
    </w:p>
    <w:p>
      <w:r>
        <w:rPr>
          <w:b/>
        </w:rPr>
        <w:t>E. 2</w:t>
      </w:r>
    </w:p>
    <w:p>
      <w:r>
        <w:t>La décision d'arrestation et de mise en détention du 7 mars 2012 ne comportait aucune motivation écrite, le jugement complet ayant été notifié trois semaines plus tard. Il convient de déterminer en premier lieu si cette façon de procéder est conforme aux exigences de l' art. 112 al. 1 let. b LTF , en relation notamment avec l' art. 29 al. 2 Cst. et les art. 3 al. 2 let . c et 226 al. 2 CPP (RS 312.0). Le Tribunal fédéral peut examiner d'office et librement ces questions (cf. art. 106 al. 1 LTF ; ATF 135 I 71 consid. 2.5 p. 73 s.; ATF 135 II 145 consid. 8.2 p. 153; arrêts 1B_259/2009 du 17 septembre 2009 consid. 3; 1B_379/2011 du 2 août 2011 consid. 1 et les références).</w:t>
      </w:r>
    </w:p>
    <w:p>
      <w:r>
        <w:rPr>
          <w:b/>
        </w:rPr>
        <w:t>E. 2.1</w:t>
      </w:r>
    </w:p>
    <w:p>
      <w:r>
        <w:t>Préliminairement, il y a lieu de relever que la décision d'arrestation immédiate et de mise en détention pour des motifs de sûreté peut se fonder sur l' art. 232 CPP , la condamnation du recourant à une peine privative de liberté de quarante mois constituant un motif de détention apparu en cours de procédure au sens de l'alinéa premier de cette disposition. La compétence pour rendre une décision en application de l' art. 232 CPP appartient en principe à la direction de la procédure, soit en l'espèce le président de la juridiction d'appel. Cela étant, rien ne s'oppose à ce que ce soit la juridiction in corpore qui statue sur ce point, dans le cadre du jugement sur appel. BGE 138 IV 81 S. 84</w:t>
      </w:r>
    </w:p>
    <w:p>
      <w:r>
        <w:rPr>
          <w:b/>
        </w:rPr>
        <w:t>E. 2.2</w:t>
      </w:r>
    </w:p>
    <w:p>
      <w:r>
        <w:t>Conformément à l' art. 112 al. 1 LTF , les décisions qui peuvent faire l'objet d'un recours devant le Tribunal fédéral sont notifiées par écrit et elles doivent contenir "les motifs déterminants de fait et de droit" (let. b). Les décisions de mise en détention pour des motifs de sûreté prises en application de l' art. 232 CPP sont en outre soumises aux exigences de l' art. 226 al. 2 CPP , applicable par analogie (arrêt 1B_564/2011 du 27 octobre 2011 consid. 3.1 et les références citées). Cette norme prévoit que le tribunal communique immédiatement et verbalement sa décision au ministère public, au prévenu et à son défenseur, ou par écrit si ceux-ci sont absents. Elle exige en outre que la décision portant sur la détention soit notifiée par écrit et brièvement motivée. Les exigences de motivation des décisions ont été déduites du droit d'être entendu, garanti par l' art. 29 al. 2 Cst. et l' art. 3 al. 2 let . c CPP. Selon la jurisprudence, le juge est tenu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2.3</w:t>
      </w:r>
    </w:p>
    <w:p>
      <w:r>
        <w:t>En l'espèce, l'arrestation immédiate du recourant et sa mise en détention pour des motifs de sûreté ont été ordonnées dans le dispositif du jugement sur appel rendu le 7 mars 2012, dont les considérants n'ont pas été notifiés immédiatement. Il ressort certes du procès-verbal de l'audience d'appel que le condamné a été placé en détention pour des motifs de sûreté "en raison de ses attaches insuffisantes avec la Suisse". Il n'est cependant pas établi que ce document a été notifié régulièrement au recourant. Au demeurant, la motivation qu'il comporte est manifestement insuffisante au regard des exigences relevant du droit d'être entendu exposées précédemment. En effet, même si l'on peut déduire du procès-verbal en question que la Cour d'appel pénale retenait implicitement l'existence d'un risque de fuite au sens de l' art. 221 al. 1 let. a CPP , le recourant ignorait sur quels éléments se fondait cette appréciation. Une motivation complémentaire, même succincte, apparaissait pourtant nécessaire, notamment parce qu'il ressort du jugement de première instance que le recourant a certains liens avec la Suisse. En BGE 138 IV 81 S. 85 définitive, l'intéressé a été détenu pour des motifs de sûreté pendant plus de trois semaines sans qu'aucune motivation écrite suffisante de la mise en détention ne lui soit parvenue. Il y a donc eu, durant cette période, violation de l' art. 112 al. 1 let. b LTF et des art. 3 al. 2 let . c et 226 al. 2 CPP en relation avec l' art. 29 al. 2 Cst. , ces dispositions exigeant qu'une décision de mise en détention soit notifiée par écrit et au moins sommairement motivée.</w:t>
      </w:r>
    </w:p>
    <w:p>
      <w:r>
        <w:rPr>
          <w:b/>
        </w:rPr>
        <w:t>E. 2.4</w:t>
      </w:r>
    </w:p>
    <w:p>
      <w:r>
        <w:t>Malgré les violations précitées, un renvoi de la décision à l'autorité cantonale en application de l' art. 112 al. 3 LTF ne se justifie plus, dans la mesure où le jugement complet a été expédié le 28 mars 2012. Le considérant 7 dudit jugement comporte en effet une motivation suffisante quant à la mesure de détention ordonnée et le recourant, qui n'invoque aucun grief relatif au droit d'être entendu, a pu se déterminer à cet égard dans la procédure devant le Tribunal fédéral. Cela étant, à l'instar de la violation de certains délais procéduraux, la violation des art. 3 al. 2 let . c et 226 al. 2 CPP en relation avec l' art. 29 al. 2 Cst. peut être réparée - au moins partiellement - par une constatation de celle-ci, une admission partielle du recours sur ce point et l'octroi de pleins dépens au recourant (cf. ATF 137 IV 118 consid. 2.2 in fine p. 121 s. et les références citées).</w:t>
      </w:r>
    </w:p>
    <w:p>
      <w:r>
        <w:rPr>
          <w:b/>
        </w:rPr>
        <w:t>E. 2.5</w:t>
      </w:r>
    </w:p>
    <w:p>
      <w:r>
        <w:t>Il convient encore de préciser ce qui suit pour les cas où la juridiction d'appel ordonne, dans le cadre de son jugement sur appel, l'arrestation du condamné et son placement en détention pour des motifs de sûreté. Pour satisfaire aux exigences susmentionnées, la juridiction d'appel doit communiquer immédiatement et verbalement sa décision au ministère public, au prévenu et à son défenseur, ou par écrit si ceux-ci sont absents. Elle est en outre tenue de rendre sur ce point une décision écrite et au moins sommairement motivée (cf. art. 226 al. 2 CPP ). Il n'est pas suffisant de prononcer une telle mesure dans le dispositif du jugement sur appel, dès lors que la motivation de ce jugement n'est pas notifiée immédiatement. Il y a donc lieu de rendre une décision séparée sur la détention, de sorte que le condamné soit en mesure de contester utilement cette mesure devant la Cour de céans. Conformément à la jurisprudence relative à l' art. 226 al. 2 CPP , on peut admettre que cette décision soit notifiée après l'audience (cf. arrêt 1B_564/2011 précité consid. 3.1 et les références). Compte tenu des enjeux pour le condamné et du caractère sommaire de la motivation exigée, la décision devra cependant être expédiée dans les plus brefs délais.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