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197</w:t>
      </w:r>
    </w:p>
    <w:p>
      <w:r>
        <w:rPr>
          <w:i/>
        </w:rPr>
        <w:t>Bundesgericht (BGE)</w:t>
      </w:r>
      <w:r>
        <w:rPr>
          <w:i/>
        </w:rPr>
        <w:t xml:space="preserve">  ·  2012-07-11</w:t>
      </w:r>
      <w:r>
        <w:rPr>
          <w:i/>
        </w:rPr>
        <w:t xml:space="preserve">  ·  DE</w:t>
      </w:r>
    </w:p>
    <w:p>
      <w:r>
        <w:rPr>
          <w:b/>
        </w:rPr>
        <w:t xml:space="preserve">Source: </w:t>
      </w:r>
      <w:r>
        <w:t>https://mcp.opencaselaw.ch/entscheid/bge_BGE_138_IV_197</w:t>
      </w:r>
    </w:p>
    <w:p>
      <w:r>
        <w:t>FR: ATF 138 IV 197 · IT: DTF 138 IV 197</w:t>
      </w:r>
    </w:p>
    <w:p>
      <w:pPr>
        <w:pStyle w:val="Heading2"/>
      </w:pPr>
      <w:r>
        <w:t>Regeste</w:t>
      </w:r>
    </w:p>
    <w:p>
      <w:r>
        <w:t>Regeste Art. 429 Abs. 1 lit. a StPO; Parteientschädigung nach Einstellung des Strafverfahrens. Der Entschädigungsanspruch nach Art. 429 Abs. 1 lit. a StPO setzt voraus, dass sowohl der Beizug eines Anwalts als auch der von diesem betriebene Aufwand angemessen sind (E. 2.3.4). Der vom Verteidiger betriebene Aufwand hat sich in aus juristischer Sicht einfachen Fällen auf ein Minimum zu beschränken; allenfalls muss es bei einer einfachen Konsultation sein Bewenden haben. Nur in Ausnahmefällen jedoch wird bei Verbrechen und Vergehen schon der Beizug eines Anwalts an sich als nicht angemessene Ausübung der Verfahrensrechte bezeichnet werden können (E. 2.3.5).</w:t>
      </w:r>
    </w:p>
    <w:p>
      <w:r>
        <w:t>Regeste Art. 429 al. 1 let. a CPP; indemnité de procédure après classement de la procédure pénale. L'indemnisation prévue à l'art. 429 al. 1 let. a CPP suppose que tant le recours à un avocat que l'activité déployée par celui-ci sont justifiés (consid. 2.3.4). Dans les cas juridiquement simples, l'activité de l'avocat doit se limiter au minimum, soit tout au plus à une simple consultation. En revanche, dans les cas de crimes ou de délits, le simple recours à un avocat ne peut qu'exceptionnellement être considéré comme un exercice non raisonnable des droits de partie (consid. 2.3.5).</w:t>
      </w:r>
    </w:p>
    <w:p>
      <w:r>
        <w:t>Regesto Art. 429 cpv. 1 lett. a CPP; indennizzo in seguito all'abbandono del procedimento penale. L'indennità secondo l'art. 429 cpv. 1 lett. a CPP presuppone che sia il ricorso ai servizi di un avvocato sia il dispendio da questi sostenuto siano adeguati (consid. 2.3.4). In casi semplici sotto il profilo giuridico, il dispendio del difensore deve limitarsi a un minimo; semmai è sufficiente una consultazione. Tuttavia, nell'ambito di crimini o delitti, soltanto in casi eccezionali già il fatto di far capo a un avvocato può essere definito come un esercizio non adeguato dei diritti di parte (consid. 2.3.5).</w:t>
      </w:r>
    </w:p>
    <w:p>
      <w:pPr>
        <w:pStyle w:val="Heading2"/>
      </w:pPr>
      <w:r>
        <w:t>Erwägungen</w:t>
      </w:r>
    </w:p>
    <w:p>
      <w:r>
        <w:rPr>
          <w:b/>
        </w:rPr>
        <w:t>E. 2.1</w:t>
      </w:r>
    </w:p>
    <w:p>
      <w:r>
        <w:t>Das Kantonsgericht führte aus, der Beschwerdeführer habe keinen Anspruch auf eine Entschädigung im Sinne von Art. 429 Abs. 1 lit. a StPO (SR 312.0). Weder erweise sich der Sachverhalt als komplex noch seien persönliche Verhältnisse ersichtlich, welche den Beizug eines Anwalts gebieten würden. Dies zeige sich auch an der geringen Schadenshöhe. Es sei davon auszugehen, dass sich eine erwachsene Person gegen den Tatvorwurf, wie er hier erhoben worden sei, in der Regel selber hinreichend zu verteidigen wisse. Wenn der Beschwerdeführer behaupte, er habe zu Beginn des Verfahrens nicht einmal gewusst, was ihm konkret vorgeworfen werde, so könne dem nicht gefolgt werden. In der Einvernahme vom 29. März 2011, zu der er noch ohne anwaltliche Vertretung erschienen sei, habe er vielmehr gesagt, er wisse, weshalb er vorgeladen worden sei. Es werde ihm vorgeworfen, er habe einen Personenwagen zerkratzt.</w:t>
      </w:r>
    </w:p>
    <w:p>
      <w:r>
        <w:rPr>
          <w:b/>
        </w:rPr>
        <w:t>E. 2.2</w:t>
      </w:r>
    </w:p>
    <w:p>
      <w:r>
        <w:t>Der Beschwerdeführer erblickt im Beschluss des Kantonsgerichts eine Verletzung von Art. 429 Abs. 1 StPO , von Art. 9 und Art. 32 Abs. 1 BV sowie von Art. 6 Ziff. 3 lit. b EMRK . Es sei jeder beschuldigten Person zuzugestehen, nach Einleitung einer Strafuntersuchung, die ein Verbrechen oder ein Vergehen zum Gegenstand habe und welche nach einer ersten Einvernahme nicht eingestellt, sondern weitergeführt werde, einen Anwalt beizuziehen. Er sei der Sachbeschädigung, also eines Vergehens, beschuldigt worden. Zu diesem Vorwurf sei er anlässlich der ersten Einvernahme vom 29. März BGE 138 IV 197 S. 200 2011 von der Polizei Basel-Landschaft befragt worden, jedoch nur als Auskunftsperson. Erst als die Staatsanwaltschaft Basel-Landschaft am 13. April 2011 die Eröffnung des Vorverfahrens verfügte, habe er sich gezwungen gesehen, einen Anwalt zu beauftragen. Nach der Eröffnung des Vorverfahrens habe am 27. April 2011 die Befragung einer Auskunftsperson und am 9. Juni 2011 erneut eine Einvernahme von ihm selber stattgefunden. Sein Anwalt habe an beiden Einvernahmen teilgenommen und vom Fragerecht Gebrauch gemacht. Erst am 11. August 2011, nach insgesamt drei Einvernahmen, sei das Verfahren gegen ihn eingestellt worden.</w:t>
      </w:r>
    </w:p>
    <w:p>
      <w:r>
        <w:rPr>
          <w:b/>
        </w:rPr>
        <w:t>E. 2.3.1</w:t>
      </w:r>
    </w:p>
    <w:p>
      <w:r>
        <w:t>Wird die beschuldigte Person ganz oder teilweise freigesprochen oder wird das Verfahren gegen sie eingestellt, so hat sie gemäss Art. 429 Abs. 1 lit. a StPO Anspruch auf Einschädigung ihrer Aufwendungen für die angemessene Ausübung ihrer Verfahrensrechte. Vorliegend stellt sich die Frage, ob die Mandatierung eines Anwalts als angemessene Ausübung der Verfahrensrechte qualifiziert werden kann. Laut der Botschaft des Bundesrats setzt Art. 429 Abs. 1 lit. a StPO die Rechtsprechung um, wonach der Staat die entsprechenden Kosten nur übernimmt, wenn der Beistand angesichts der tatsächlichen oder der rechtlichen Komplexität notwendig war und wenn der Arbeitsaufwand und somit das Honorar des Anwalts gerechtfertigt waren (Botschaft vom 21. Dezember 2005 zur Vereinheitlichung des Strafprozessrechts, BBl 2006 1329 Ziff. 2.10.3.1). Dieser Hinweis in der bundesrätlichen Botschaft ist für die Interpretation von Art. 429 Abs. 1 lit. a StPO insofern wenig hilfreich, als sich das Bundesgericht in seiner bisherigen Rechtsprechung zur Frage der Entschädigung zum einen im Wesentlichen auf eine Willkürprüfung der Anwendung von kantonalem Strafprozessrecht beschränkte und zum andern die kantonalen Regelungen durchaus nicht identisch waren, wie sich anhand folgender Beispiele aufzeigen lässt: Nach § 43 Abs. 2 der Strafprozessordnung des Kantons Zürich vom 4. Mai 1919 (StPO/ZH; LS 321) hatte ein Angeschuldigter, dem wesentliche Kosten und Umtriebe entstanden sind, Anspruch auf Entschädigung. Das Bundesgericht hielt dazu fest, die Zürcher Praxis, wonach Kosten der privaten Verteidigung in Übertretungsstrafsachen nur dann als "wesentliche Kosten und Umtriebe" im Sinne von § 43 Abs. 2 StPO /ZH zu qualifizieren sind, wenn tatsächliche oder rechtliche BGE 138 IV 197 S. 201 Schwierigkeiten den Beizug eines Anwaltes als sachlich geboten erscheinen lassen, sei nicht schlechterdings unhaltbar bzw. willkürlich (Urteil 1P.482/1996 vom 11. November 1996 E. 1c). Andere kantonale Strafprozessordnungen regelten den Anspruch auf Entschädigung in Form einer Kann-Bestimmung (so etwa das Gesetz des Kantons Basel-Landschaft vom 3. Juni 1999 betreffend die Strafprozessordnung [StPO/BL; SGS 251] in § 33 Abs. 1: "Wird die angeschuldigte Person freigesprochen, wird das Verfahren eingestellt oder wird ihm keine Folge gegeben, kann ihr die mit der Beendigung des Verfahrens befasste Behörde auf Antrag eine angemessene Entschädigung für ungerechtfertigte Haft, für Anwaltskosten sowie für anderweitige Nachteile zusprechen."). Zum früheren sankt-gallischen Recht führt OBERHOLZER aus, dass ein Anspruch auf Ersatz der Vertretungskosten unabhängig davon gewährleistet gewesen sei, ob der Beizug eines Verteidigers im Untersuchungs- oder Gerichtsverfahren aufgrund der tatsächlichen und rechtlichen Schwierigkeiten notwendig war oder nicht (NIKLAUS OBERHOLZER, Grundzüge des Strafprozessrechts, 2. Aufl. 2005, Rz. 1839). Art. 429 Abs. 1 lit. a StPO , der mit Inkrafttreten der Schweizerischen Strafprozessordnung am 1. Januar 2011 die kantonalen Entschädigungsregelungen ablöste, wurde in den parlamentarischen Beratungen diskussionslos angenommen (AB 2006 S 1059; AB 2007 N 1032). Insgesamt ist deshalb festzuhalten, dass die Materialien der Gesetzgebung nur in beschränktem Masse Anhaltspunkte für die Auslegung bieten. Von einer Rechtsprechung, an die eins zu eins angeknüpft werden könnte, kann nach dem Gesagten kaum die Rede sein. Immerhin geht aus der Botschaft hervor, dass nach Ansicht des Bundesrats die tatsächliche und rechtliche Komplexität des Falls eine Rolle spielen soll.</w:t>
      </w:r>
    </w:p>
    <w:p>
      <w:r>
        <w:rPr>
          <w:b/>
        </w:rPr>
        <w:t>E. 2.3.2</w:t>
      </w:r>
    </w:p>
    <w:p>
      <w:r>
        <w:t>Eine Durchsicht der Fachliteratur ergibt folgendes Bild: KÜNG, RIKLIN und SCHMID verweisen im Wesentlichen auf die in der Botschaft dargelegte Interpretation (HANSPETER KÜNG, in: Kommentierte Textausgabe zur schweizerischen Strafprozessordnung [StPO] vom 5. Oktober 2007, Peter Goldschmied und andere [Hrsg.], 2008, Art. 429 StPO ; FRANZ RIKLIN, Schweizerische Strafprozessordnung, 2010, N. 3 zu Art. 429 StPO ; NIKLAUS SCHMID, Schweizerische Strafprozessordnung, 2009, N. 7 zu Art. 429 StPO ). GRIESSER geht ebenfalls vom Ansatz der Botschaft aus und fügt bei, nach heutigem Verständnis werde man - abgesehen von Bagatellfällen - jeder beschuldigten Person zubilligen, dass sie nach Einleitung einer BGE 138 IV 197 S. 202 Strafuntersuchung, die Verbrechen oder Vergehen zum Gegenstand habe und die nach einer ersten Einvernahme nicht eingestellt worden sei, einen Anwalt beiziehe. Diese Grundsätze sollten zudem auch für Übertretungen gelten (jedenfalls wenn es zu einem gerichtlichen Verfahren komme), wobei die Frage der Angemessenheit nach der Schwere der Anschuldigung in persönlicher und sachlicher Hinsicht zu beurteilen sei (YVONA GRIESSER, in: Kommentar zur Schweizerischen Strafprozessordnung [StPO], 2010, N. 4 zu Art. 429 StPO ). Ähnlich ist die Auffassung von MIZEL und RÉTORNAZ, wonach sich die anwaltliche Vertretung bei Verbrechen und Vergehen prinzipiell und bei Übertretungen dann rechtfertigt, wenn für den Beschuldigten einiges auf dem Spiel steht (MIZEL/RÉTORNAZ, in: Commentaire romand, Code de procédure pénale suisse, 2011, N. 31 zu Art. 429 StPO ). Nach WEHRENBERG und BERNHARD ist es ebenfalls gerechtfertigt, jedem Beschuldigten zuzugestehen, nach Einleitung einer Strafuntersuchung, die ein Verbrechen oder Vergehen zum Gegenstand hat und die nach einer ersten Einvernahme nicht eingestellt, sondern weitergeführt wird, einen Anwalt beizuziehen. Da es immer schwieriger und gleichzeitig immer wichtiger werde, nicht nur das Gesetz, sondern auch die Rechtsprechung dazu zu kennen und dies in der Regel einem Laien nicht zugemutet werden könne, könne von diesem auch nicht verlangt werden, sich selbst zu verteidigen. Vielmehr sei es in Nachachtung des Anspruchs auf Waffengleichheit der beschuldigten Person zu ermöglichen, einen Verteidiger beizuziehen. Ausserdem könne zu Beginn eines Verfahrens nur schwer abgeschätzt werden, ob Komplikationen entstehen werden. Für eine wirksame Verteidigung sei es zudem in der Regel wesentlich, möglichst früh im Verfahren damit beginnen zu können (WEHRENBERG/BERNHARD, in: Basler Kommentar, Schweizerische Strafprozessordnung, 2011, N. 14 zu Art. 429 StPO ).</w:t>
      </w:r>
    </w:p>
    <w:p>
      <w:r>
        <w:rPr>
          <w:b/>
        </w:rPr>
        <w:t>E. 2.3.3</w:t>
      </w:r>
    </w:p>
    <w:p>
      <w:r>
        <w:t>Der Anspruch aus Art. 429 Abs. 1 lit. a StPO ist von der notwendigen und der amtlichen Verteidigung abzugrenzen. Ein Anspruch auf Entschädigung für Verteidigungskosten im Falle einer Verfahrenseinstellung oder eines Freispruchs gestützt auf Art. 429 Abs. 1 lit. a StPO besteht nicht nur in den Fällen der notwendigen Verteidigung im Sinne von Art. 130 StPO . Ein Anspruch besteht auch nicht nur in den Fällen, in denen bei Mittellosigkeit der beschuldigten Person gestützt auf Art. 132 Abs. 1 lit. b StPO eine amtliche Verteidigung hätte angeordnet werden müssen, weil dies zur Wahrung der Interessen der beschuldigten Person geboten gewesen wäre. Der BGE 138 IV 197 S. 203 Beizug eines Wahlverteidigers kann sich mit anderen Worten als angemessene Ausübung der Verfahrensrechte erweisen, auch wenn er nicht als geradezu geboten erscheint.</w:t>
      </w:r>
    </w:p>
    <w:p>
      <w:r>
        <w:rPr>
          <w:b/>
        </w:rPr>
        <w:t>E. 2.3.4</w:t>
      </w:r>
    </w:p>
    <w:p>
      <w:r>
        <w:t>Die Botschaft weist auf zwei kumulative Voraussetzungen hin: Sowohl der Beizug eines Verteidigers als auch der von diesem betriebene Aufwand müssen sich als angemessen erweisen (BBl 2006 1329 Ziff. 2.10.3.1). Diese Differenzierung kommt zwar im Wortlaut von Art. 429 Abs. 1 lit. a StPO , wo global von "angemessener Ausübung ihrer Verfahrensrechte" die Rede ist, nicht direkt zum Ausdruck; sie steht indessen im Einklang mit der herrschenden Lehre und der Praxis zum früheren Recht. Daran ist weiterhin festzuhalten. Es ist somit nicht auszuschliessen, dass im Einzelfall schon der Beizug eines Anwalts an sich als nicht angemessene Ausübung der Verfahrensrechte bezeichnet werden könnte.</w:t>
      </w:r>
    </w:p>
    <w:p>
      <w:r>
        <w:rPr>
          <w:b/>
        </w:rPr>
        <w:t>E. 2.3.5</w:t>
      </w:r>
    </w:p>
    <w:p>
      <w:r>
        <w:t>Die in der Literatur erkennbare Stossrichtung, einem Beschuldigten in der Regel den Beizug eines Anwalts zuzubilligen, jedenfalls von einer bestimmten Schwere des Deliktsvorwurfs an, erscheint sachlich gerechtfertigt. Es darf nicht vergessen werden, dass es im Rahmen von Art. 429 Abs. 1 lit. a StPO um die Verteidigung einer vom Staat zu Unrecht beschuldigten und gegen ihren Willen in ein Strafverfahren einbezogenen Person geht (hat die beschuldigte Person die Einleitung des Verfahrens rechtswidrig und schuldhaft bewirkt, so kann die Entschädigung gemäss Art. 430 Abs. 1 lit. a StPO trotz vermuteter Unschuld herabgesetzt oder verweigert werden). Das materielle Strafrecht und das Strafprozessrecht sind zudem komplex und stellen insbesondere für Personen, die das Prozessieren nicht gewohnt sind, eine Belastung und grosse Herausforderung dar. Wer sich selbst verteidigt, dürfte deshalb prinzipiell schlechter gestellt sein. Dies gilt grundsätzlich unabhängig von der Schwere des Deliktsvorwurfs. Auch bei blossen Übertretungen darf deshalb nicht generell davon ausgegangen werden, dass die beschuldigte Person ihre Verteidigerkosten als Ausfluss einer Art von Sozialpflichtigkeit selbst zu tragen hat. Im Übrigen sind beim Entscheid über die Angemessenheit des Beizugs eines Anwalts neben der Schwere des Tatvorwurfs und der tatsächlichen und rechtlichen Komplexität des Falls insbesondere auch die Dauer des Verfahrens und dessen Auswirkungen auf die persönlichen und beruflichen Verhältnisse der beschuldigten Person zu berücksichtigen. Was die Angemessenheit des vom Anwalt betriebenen Aufwands betrifft, so wird sich dieser in aus juristischer Sicht einfachen Fällen BGE 138 IV 197 S. 204 auf ein Minimum beschränken; allenfalls muss es gar bei einer einfachen Konsultation sein Bewenden haben. Nur in Ausnahmefällen wird bei Verbrechen und Vergehen schon der Beizug eines Anwalts an sich als nicht angemessene Ausübung der Verfahrensrechte bezeichnet werden können. Diesbezüglich sei auf den in der Literatur erwähnten Fall hingewiesen, wo das Verfahren bereits nach einer ersten Einvernahme eingestellt wird. Wann konkret von einem derartigen Ausnahmefall auszugehen ist, braucht indessen vorliegend nicht abschliessend erörtert zu werden.</w:t>
      </w:r>
    </w:p>
    <w:p>
      <w:r>
        <w:rPr>
          <w:b/>
        </w:rPr>
        <w:t>E. 2.3.6</w:t>
      </w:r>
    </w:p>
    <w:p>
      <w:r>
        <w:t>Die Frage, ob der Beizug eines Verteidigers und der von diesem betriebene Aufwand eine angemessene Ausübung der Verfahrensrechte darstellen, ist bundesrechtlicher Natur. Das Bundesgericht prüft deren Beantwortung und mithin die Auslegung von Art. 429 Abs. 1 lit. a StPO frei. Es auferlegt sich indessen eine gewisse Zurückhaltung gegenüber der vorinstanzlichen Einschätzung, insbesondere hinsichtlich der Frage, welcher Aufwand des Verteidigers im konkreten Fall noch als angemessen zu bezeichnen ist.</w:t>
      </w:r>
    </w:p>
    <w:p>
      <w:r>
        <w:rPr>
          <w:b/>
        </w:rPr>
        <w:t>E. 2.3.7</w:t>
      </w:r>
    </w:p>
    <w:p>
      <w:r>
        <w:t>Aus den Akten ergeben sich folgende Eckdaten: Am 29. März 2011 wurde der Beschwerdeführer von der Polizei als Auskunftsperson einvernommen. Am 13. April 2011 eröffnete die Staatsanwaltschaft ein Strafverfahren wegen Sachbeschädigung ( Art. 144 Abs. 1 StGB ). Dabei handelt es sich um ein Vergehen ( Art. 10 Abs. 3 StGB ). Auch wenn der konkrete Vorwurf persönlich und materiell am unteren Rand der Schwelle liegt, die den Beizug eines Anwalts rechtfertigen kann, wurde das Verfahren von den Strafverfolgungsbehörden doch mit einiger Hartnäckigkeit weiterverfolgt. Mit Schreiben vom 19. April 2011 teilte der Rechtsvertreter des Beschwerdeführers der Staatsanwaltschaft mit, von diesem mit der Wahrung seiner Interessen beauftragt worden zu sein. Am 27. April 2011 wurde der Angestellte der Y. GmbH in Anwesenheit des Verteidigers des Beschwerdeführers als Auskunftsperson befragt. Am 7. Juni 2011 wurde der Beschwerdeführer erneut einvernommen, diesmal von der Staatsanwaltschaft und als beschuldigte Person. Zunächst erfolgte die Einvernahme zur Sache, bei welcher der Verteidiger des Beschwerdeführers anwesend war. Im Anschluss wurde der Beschwerdeführer noch zu seiner Person befragt, wobei der Verteidiger diesem Teil nicht mehr beiwohnte. Das Strafverfahren wurde am 11. August 2011 eingestellt. Vor dem Hintergrund der obigen Ausführungen gebietet Art. 429 Abs. 1 lit. a StPO in einer solchen Situation, dass dem BGE 138 IV 197 S. 205 Beschwerdeführer eine Entschädigung zugesprochen wird. Die Rüge des Beschwerdeführers, die Vorinstanz habe diese Bestimmung verletzt, erweist sich deshalb als begründet. Der angefochtene Beschluss ist aufzuheben, und es kann offenbleiben, wie es sich mit den weiteren erwähnten Rügen verhält.</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