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331</w:t>
      </w:r>
    </w:p>
    <w:p>
      <w:r>
        <w:t>Bundesgericht (BGE), 2012-01-01, DE</w:t>
      </w:r>
    </w:p>
    <w:p>
      <w:r>
        <w:rPr>
          <w:b/>
        </w:rPr>
        <w:t xml:space="preserve">Quelle: </w:t>
      </w:r>
      <w:r>
        <w:t>https://mcp.opencaselaw.ch/entscheid/bge_BGE_138_II_331</w:t>
      </w:r>
    </w:p>
    <w:p>
      <w:r>
        <w:t>FR: ATF 138 II 331</w:t>
      </w:r>
    </w:p>
    <w:p>
      <w:r>
        <w:t>IT: DTF 138 II 331</w:t>
      </w:r>
    </w:p>
    <w:p>
      <w:pPr>
        <w:pStyle w:val="Heading2"/>
      </w:pPr>
      <w:r>
        <w:t>Regeste</w:t>
      </w:r>
    </w:p>
    <w:p>
      <w:r>
        <w:t>Regeste Art. 11 und 25 USG, Art. 7 und Anhang 6 LSV; Berücksichtigung von nicht ständig auftretenden Lärmspitzen im Baubewilligungsverfahren. Eintretensvoraussetzungen (E. 1). Für die Zulässigkeit des von einer Anlage erzeugten Lärms ist anhand der Umstände des Einzelfalles zu prüfen, ob auf die effektive Betriebsdauer der Lärmquelle selbst oder des Gesamtbetriebes abgestellt wird. Eine auch als "Lärmverdünnung" bezeichnete Umrechnung des Lärms kommt namentlich bei Verkehrsanlagen in Frage. Damit sind maschinelle Lärmspitzen nicht vergleichbar. Wenn der während der effektiven Betriebszeit verursachte Lärm den zulässigen Planungswert und sogar den Immissionsgrenzwert übersteigt, steht dies der Erteilung einer Baubewilligung grundsätzlich entgegen (E. 2-4). Eine Ausnahme ist nur zulässig, wenn die Lärmspitzen von der Dauer und Häufigkeit her zeitlich beschränkt auftreten (E. 5).</w:t>
      </w:r>
    </w:p>
    <w:p>
      <w:r>
        <w:t>Regeste Art. 11 et 25 LPE, art. 7 et annexe 6 OPB; prise en considération dans la procédure d'autorisation de construire des pics de bruit qui se produisent de manière intermittente. Conditions d'entrée en matière (consid. 1). Les circonstances du cas concret déterminent s'il convient, lors de l'examen de l'admissibilité du bruit résultant d'une installation, de prendre en compte la durée de fonctionnement effective de cette source de bruit ou celle de l'ensemble de l'exploitation. Une conversion du bruit, également appelée "lissage du bruit", entre en considération notamment pour les infrastructures destinées au trafic. Les pics de bruit occasionnés par des machines ne sont pas comparables au bruit résultant de telles infrastructures. L'autorisation de construire n'est en principe pas délivrée si le bruit occasionné pendant le temps de fonctionnement effectif dépasse la valeur de planification autorisée et ainsi la valeur limite d'immission (consid. 2-4). Une exception n'est admise que si les pics de bruit apparaissent limités dans le temps par leur durée et leur fréquence (consid. 5).</w:t>
      </w:r>
    </w:p>
    <w:p>
      <w:r>
        <w:t>Regesto Art. 11 e 25 LPAmb, art. 7 e allegato 6 OIF; presa in considerazione nella procedura della licenza edilizia di picchi di rumore intermittenti. Condizioni di ammissibilità (consid. 1). Per valutare l'ammissibilità del rumore prodotto da un impianto deve essere esaminato in base alle circostanze del singolo caso se occorre fondarsi sulla durata di funzionamento effettiva della fonte di rumore stessa o sull'esercizio complessivo. Una conversione del rumore, detta anche "diluizione del rumore", entra in considerazione in particolare per gli impianti per il traffico. Agli stessi non sono paragonabili i picchi di rumore dei macchinari. Se il rumore prodotto durante il periodo di funzionamento effettivo supera il valore di pianificazione e addirittura il valore limite d'immissione, la licenza edilizia non può di principio essere rilasciata (consid. 2-4). Un'eccezione è ammissibile solo se i picchi di rumore siano di durata e frequenza limitate (consid. 5).</w:t>
      </w:r>
    </w:p>
    <w:p>
      <w:pPr>
        <w:pStyle w:val="Heading2"/>
      </w:pPr>
      <w:r>
        <w:t>Erwägungen</w:t>
      </w:r>
    </w:p>
    <w:p>
      <w:r>
        <w:rPr>
          <w:b/>
        </w:rPr>
        <w:t>E. 1.1</w:t>
      </w:r>
    </w:p>
    <w:p>
      <w:r>
        <w:t>Angefochten ist ein letztinstanzlicher kantonaler Endentscheid über die Erteilung bzw. Verweigerung einer Baubewilligung. Dagegen steht die Beschwerde in öffentlich-rechtlichen Angelegenheiten nach Art. 82 ff. BGG an das Bundesgericht offen.</w:t>
      </w:r>
    </w:p>
    <w:p>
      <w:r>
        <w:rPr>
          <w:b/>
        </w:rPr>
        <w:t>E. 1.2</w:t>
      </w:r>
    </w:p>
    <w:p>
      <w:r>
        <w:t>Die Beschwerdeführerin ist als Baugesuchstellerin und direkte Adressatin des angefochtenen Entscheids, mit dem ihr die ersuchte Baubewilligung verweigert wurde, grundsätzlich zur Beschwerde legitimiert ( Art. 89 Abs. 1 BGG ).</w:t>
      </w:r>
    </w:p>
    <w:p>
      <w:r>
        <w:rPr>
          <w:b/>
        </w:rPr>
        <w:t>E. 1.2.1</w:t>
      </w:r>
    </w:p>
    <w:p>
      <w:r>
        <w:t>Die Beschwerdegegner wenden dagegen freilich ein, die Schwestergesellschaft der Beschwerdeführerin habe inzwischen ebenfalls ein Bewilligungsgesuch für das gleiche Grundstück eingereicht, mit dem die bisherige Nutzung nachträglich legalisiert werden solle. Die Beschwerdegegnerinnen 1-3 schliessen daraus, die Beschwerdeführerin sei nicht mehr zur Beschwerde legitimiert, weil sie an ihrem ersten, hier strittigen Gesuch nicht mehr interessiert sei. Der BGE 138 II 331 S. 335 Beschwerdegegner 4 leitet daraus die eher inhaltliche Folgerung ab, dem ersten Baugesuch könne aus diesem Grund nicht stattgegeben werden, stellt aber doch den Verfahrensantrag, das Bundesgericht solle die Beschwerdeführerin anfragen, welches Bauprojekt sie nun eigentlich umsetzen wolle.</w:t>
      </w:r>
    </w:p>
    <w:p>
      <w:r>
        <w:rPr>
          <w:b/>
        </w:rPr>
        <w:t>E. 1.2.2</w:t>
      </w:r>
    </w:p>
    <w:p>
      <w:r>
        <w:t>In materiell-rechtlicher Hinsicht fragt es sich, ob es sich beim Einwand der Beschwerdegegner nicht um ein unzulässiges Novum gemäss Art. 99 BGG handelt. Eintretensfragen sind demgegenüber von Amtes wegen zu prüfen (vgl. Art. 29 Abs. 1 BGG ). Wie es sich damit verhält, kann hier aber offenbleiben. Denn so oder so obliegt es den zuständigen Behörden im zweiten Verfahren, die rechtlichen Folgerungen aus dem Umstand zu ziehen, dass bereits ein Baugesuch für dieselbe Parzelle hängig ist, bzw. zu prüfen, ob sich die beiden Projekte inhaltlich überschneiden und gegenseitig ausschliessen. Im hier strittigen Verfahren des ersten Baugesuchs spielt die Frage der Zulässigkeit eines zweiten Bauprojektes keine massgebliche Rolle. Dass das Grundstück allenfalls ohne die an sich erforderliche Bewilligung bereits genutzt wird, kann zwar unter Umständen mit gewissen rechtlichen Konsequenzen namentlich baupolizeilicher Art, wie sie inzwischen ja auch verfügt wurden, verbunden sein. Solche bilden hier aber nicht Verfahrensgegenstand. Auf die Bedeutung des zweiten Baugesuchs ist mithin unabhängig von der Frage, wieweit es der Beschwerdeführerin anzurechnen ist, nicht weiter einzugehen.</w:t>
      </w:r>
    </w:p>
    <w:p>
      <w:r>
        <w:rPr>
          <w:b/>
        </w:rPr>
        <w:t>E. 1.2.3</w:t>
      </w:r>
    </w:p>
    <w:p>
      <w:r>
        <w:t>Analoges gilt für die inzwischen erlassene Planungszone. Auch hierbei handelt es sich grundsätzlich um eine neue Tatsache. Abgesehen davon hat die Planungszone jedoch lediglich eine Gültigkeitsdauer von zwei Jahren. Überdies ist ihre rechtliche Bedeutung für das hier fragliche, vor ihrem Erlass eingereichte Baugesuch offen bzw. wäre allenfalls zu prüfen, wenn das Verfahren fortzusetzen wäre. Der Beschwerdeführerin kann das schutzwürdige Interesse an einem Entscheid über die fragliche Bewilligung daher schon aus diesem Grunde nicht abgesprochen werden.</w:t>
      </w:r>
    </w:p>
    <w:p>
      <w:r>
        <w:rPr>
          <w:b/>
        </w:rPr>
        <w:t>E. 1.2.4</w:t>
      </w:r>
    </w:p>
    <w:p>
      <w:r>
        <w:t>Die Beschwerdeführerin ist demnach zur Beschwerde legitimiert.</w:t>
      </w:r>
    </w:p>
    <w:p>
      <w:r>
        <w:rPr>
          <w:b/>
        </w:rPr>
        <w:t>E. 1.3</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dazu BGE 138 II 331 S. 336 Art. 106 Abs. 2 BGG sowie BGE 133 II 249 E. 1.4.2 S. 254 mit Hinweisen)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rPr>
          <w:b/>
        </w:rPr>
        <w:t>E. 1.4</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w:t>
      </w:r>
    </w:p>
    <w:p>
      <w:r>
        <w:rPr>
          <w:b/>
        </w:rPr>
        <w:t>E. 2.1</w:t>
      </w:r>
    </w:p>
    <w:p>
      <w:r>
        <w:t>Nach Art. 25 Abs. 1 des Bundesgesetzes vom 7. Oktober 1983 über den Umweltschutz (Umweltschutzgesetz, USG; SR 814.01) dürfen ortsfeste Anlagen nur errichtet werden, wenn die dadurch erzeugten Lärmimmissionen die Planungswerte in der Umgebung nicht überschreiten. Gemäss Art. 11 USG wird unter anderem Lärm durch Massnahmen an der Quelle begrenzt (Abs. 1); unabhängig von der bestehenden Umweltbelastung sind sodann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Nach Art. 25 Abs. 2 USG können Erleichterungen nur dann gewährt werden, wenn ein überwiegendes öffentliches Interesse an der Anlage besteht und die Einhaltung der Planungswerte zu einer unverhältnismässigen Belastung für das Projekt führen würde und wenn die Immissionsgrenzwerte nicht überschritten werden.</w:t>
      </w:r>
    </w:p>
    <w:p>
      <w:r>
        <w:rPr>
          <w:b/>
        </w:rPr>
        <w:t>E. 2.2</w:t>
      </w:r>
    </w:p>
    <w:p>
      <w:r>
        <w:t>Lärmemissionen neuer ortsfester Anlagen müssen nach Art. 7 Abs. 1 der Lärmschutz-Verordnung vom 15. Dezember 1986 (LSV; SR 814.41) soweit begrenzt werden, als dies technisch und betrieblich möglich und wirtschaftlich tragbar ist (lit. a), und die von der Anlage allein erzeugten Lärmimmissionen dürfen die Planungswerte nicht überschreiten (lit. b). Für den umstrittenen Bauschuttaufbereitungsplatz in einer Zone mit Empfindlichkeitsstufe IV nach Art. 43 Abs. 1 lit. d LSV gelten die Belastungsgrenzwerte für BGE 138 II 331 S. 337 Industrie- und Gewerbelärm gemäss Anhang 6 zur LSV (vgl. Art. 40 Abs. 1 i.V.m. Anhang 6 Ziff. 1 Abs. 1 LSV). Dabei ist hier auf die voraussichtliche Lärmbelastung am Tag abzustellen, da die geplante Anlage in der Nacht nicht betrieben werden soll (vgl. Anhang 6 Ziff. 2 und 31 Abs. 1 LSV). Nach Anhang 6 Ziff. 2 LSV betragen der massgebliche Planungswert Lr 65 dB(A), der Immissionsgrenzwert Lr 70 dB(A) und der Alarmwert Lr 75 dB(A).</w:t>
      </w:r>
    </w:p>
    <w:p>
      <w:r>
        <w:rPr>
          <w:b/>
        </w:rPr>
        <w:t>E. 3.1</w:t>
      </w:r>
    </w:p>
    <w:p>
      <w:r>
        <w:t>Gemäss dem Verwaltungsgericht kennzeichnet sich die geplante Anlage durch die Lärmeinwirkungen von drei unterschiedlich lauten Maschinen mit je beschränkter Betriebsdauer, die teilweise einzeln, teilweise aber auch gemeinsam zum Einsatz gelangen. Dabei erzeuge der mobile Brecher mit einer Schallleistung von mindestens 112 dB(A) deutlich stärker wahrnehmbaren Lärm als die beiden anderen Maschinen von jeweils 105 dB(A). Für die Ermittlung des Beurteilungspegels Lr gemäss Anhang 6 Ziff. 31 Abs. 1 LSV erachtete das Verwaltungsgericht als massgebliche Lärmphasen im Sinne von Anhang 6 Ziff. 31 Abs. 3 LSV diejenige Zeit, in denen der mobile Brecher als deutlich lauteste Maschine betrieben wird. Da dieser nicht über das ganze Jahr, sondern lediglich über 285 Betriebsstunden bzw. umgerechnet an 36 Tagen pro Jahr eingesetzt werden soll, stellte das Verwaltungsgericht unter Verweis auf Anhang 6 Ziff. 32 LSV und das Urteil des Bundesgerichts 1A.39/2004 vom 11. Oktober 2004 E. 3.4 (in URP 2005 S. 40) nicht auf einen jahresdurchschnittlichen Mittelungspegel, sondern auf die durchschnittliche Lärmbelastung während der als massgeblich errechneten beschränkten Anzahl von 36 Tagen ab. Damit ergab sich für das Verwaltungsgericht während der Betriebszeit des mobilen Brechers ein Beurteilungspegel Lr von 71 dB(A), womit sowohl der anwendbare Planungswert von 65 dB(A) als auch der Immissionsgrenzwert von 70 dB(A) überschritten würden. Eine Privilegierung durch ausnahmsweise Zulassung einer zu grossen Lärmbelastung während kurzer Zeit erachtete das Verwaltungsgericht als für höchstens rund 18 Tage zulässig. Die im vorliegenden Fall massgeblichen 36 Tage beurteilte es hingegen als deutlich zu lange.</w:t>
      </w:r>
    </w:p>
    <w:p>
      <w:r>
        <w:rPr>
          <w:b/>
        </w:rPr>
        <w:t>E. 3.2</w:t>
      </w:r>
    </w:p>
    <w:p>
      <w:r>
        <w:t>Die Beschwerdeführerin wendet dagegen ein, der mobile Brecher sei Teil der gesamten Anlage, weshalb der erzeugte Lärm auf das ganze Jahr bzw. für eine Betriebsdauer von 200 Tagen zu berechnen sei. Für die Betroffenen mache es einen wesentlichen Unterschied, ob sie eine Lärmbelastung nur für bestimmte Phasen oder BGE 138 II 331 S. 338 das ganze Jahr über erdulden müssten; besonders lärmige Aktivitäten könnten so auch auf weniger Zeit beschränkt und der Gewerbe- oder Industriebetrieb für die Nachbarn verträglicher ausgestaltet werden. Überdies sei es willkürlich, die Zahl der festgelegten Jahresstunden des Brechers einfach durch acht zu teilen und damit auf 36 Tage festzusetzen. Es sei nämlich unrealistisch, dass der Brecher an diesen Tagen ununterbrochen während jeweils acht Stunden in Betrieb sei. Schliesslich erachtet die Beschwerdeführerin die von der Bewilligungsbehörde berücksichtigte und vom Verwaltungsgericht nicht in Frage gestellte Dämmwirkung der an- und abschwellenden Materialhaufen als offensichtlich falsch. Sie sei mit 5 dB(A) berücksichtigt worden, könne aber auf 15 dB(A) veranschlagt werden.</w:t>
      </w:r>
    </w:p>
    <w:p>
      <w:r>
        <w:rPr>
          <w:b/>
        </w:rPr>
        <w:t>E. 4.1</w:t>
      </w:r>
    </w:p>
    <w:p>
      <w:r>
        <w:t>Unter den Verfahrensbeteiligten ist unter anderem die Tragweite der Richtlinien des Bundesamtes zur Vereinfachung und Vereinheitlichung des Vollzugs des Umweltschutzgesetzes und der Lärmschutzverordnung strittig. Als verwaltungsinterne Weisungen binden diese die Gerichte freilich nicht; ihre Anwendung im Einzelfall im Interesse einer einheitlichen und rechtsgleichen Praxis ist immerhin nicht zu beanstanden, soweit dabei das übergeordnete Recht eingehalten wird (vgl. BGE 119 Ib 33 E. 3c S. 41 f.). Die Richtlinien sind allerdings für die hier zu beurteilende Sachlage nicht eindeutig und helfen insofern nicht weiter. So oder so kommt es aber entscheidend auf die Auslegung der anwendbaren Gesetzesbestimmungen an.</w:t>
      </w:r>
    </w:p>
    <w:p>
      <w:r>
        <w:rPr>
          <w:b/>
        </w:rPr>
        <w:t>E. 4.2</w:t>
      </w:r>
    </w:p>
    <w:p>
      <w:r>
        <w:t>Gemäss Anhang 6 Ziff. 32 LSV wird die durchschnittliche tägliche Dauer (ti) der Lärmphase i aus ihrer jährlichen Dauer (Ti) und der Anzahl der jährlichen Betriebstage (B) nach der Formel ti = Ti/B berechnet, wobei für neue Anlagen auf eine Prognose über den zu erwartenden Betrieb abzustellen ist. Für die Auslegung der Bestimmungen des Umweltschutzgesetzes und von dessen Ausführungserlassen kommt es nicht allein auf den Wortlaut an, sondern sie hat sich auch an den Hauptzielen des Gesetzes auszurichten. Dieses bezweckt vorab, Menschen gegen schädliche oder lästige Einwirkungen zu schützen und solche Einwirkungen im Sinne der Vorsorge frühzeitig zu begrenzen (vgl. Art. 1 USG ). Einem solchen Schutz dienen die Belastungsgrenzwerte. Das gilt es insbesondere bei der Umrechnung von Lärm bzw. der Anrechnung von die Grenzwerte überschreitenden Lärmspitzen auf Zeiten ohne oder mit weniger Lärmbelastung zu beachten. Sodann würde es der Systematik des BGE 138 II 331 S. 339 Gesetzes widersprechen, das private oder öffentliche Interesse an der Errichtung bzw. am wirtschaftlichen Betrieb einer neuen Anlage bereits im Rahmen von Art. 25 Abs. 1 USG zu berücksichtigen (GRIFFEL/RAUSCH, Kommentar zum Umweltschutzgesetz, Ergänzungsband, 2011, N. 14 zu Art. 25 USG ).</w:t>
      </w:r>
    </w:p>
    <w:p>
      <w:r>
        <w:rPr>
          <w:b/>
        </w:rPr>
        <w:t>E. 4.3</w:t>
      </w:r>
    </w:p>
    <w:p>
      <w:r>
        <w:t>Die Beschwerdeführerin sowie das Bundesamt für Umwelt sehen den mobilen Brecher als Teil der Gesamtanlage und verteilen den nur zu gewissen Zeiten anfallenden Lärm des Brechers unter Verwendung der verordnungsrechtlichen Berechnungsformel auf das ganze Jahr. Bei der zeitlichen Umrechnung des Lärms handelt es sich jedoch lediglich um eine theoretische Lärmverteilung, die der Realität nicht entspricht, wird die Lärmerzeugung und damit -belastung als solche in den Spitzenzeiten doch nicht reduziert. Es ist daher anhand der Umstände des Einzelfalles zu prüfen, wie die verordnungsrechtliche Berechnungsformel anzuwenden ist bzw. ob es sich rechtfertigt, dafür auf die effektive Betriebsdauer der Lärmquelle selbst oder des Gesamtbetriebs abzustellen.</w:t>
      </w:r>
    </w:p>
    <w:p>
      <w:r>
        <w:rPr>
          <w:b/>
        </w:rPr>
        <w:t>E. 4.4</w:t>
      </w:r>
    </w:p>
    <w:p>
      <w:r>
        <w:t>Eine Umrechnung des Lärms, die auch als "Lärmverdünnung" bezeichnet wird, hat das Bundesgericht dem Prinzip nach namentlich bei der Beurteilung von Lärmspitzen an Verkehrsachsen geschützt (vgl. etwa BGE 126 II 522 E. 41 und 44-46 S. 573 ff.; Urteil 1C_344/2011 vom 15. März 2012 E. 5.3). Das rechtfertigt sich schon mit Blick auf die Sonderbestimmung von Art. 25 Abs. 3 USG für solche Anlagen. Den dabei beurteilten Sachverhalten ist im Übrigen weitgehend gemein, dass es einen dauernden oder regelmässigen Grundgeräuschpegel gibt und dass die Lärmspitzen praktisch täglich und dabei mit einiger Regelmässigkeit auftreten. Beides bringt eine gewisse Gewöhnungswirkung mit sich. Ein solcher Zusammenhang liegt beim Projekt der Beschwerdeführerin mit seiner im Vergleich zu den meisten Verkehrsanlagen geografisch begrenzten Ausdehnung und auch in zeitlicher Hinsicht deutlich anderen Charakteristik indessen nicht vor. Wie das Verwaltungsgericht zu Recht darlegt, ist die vorliegende Sachlage eher vergleichbar mit Fällen, in denen eine Lärmbelastung von vornherein nur während einer beschränkten Dauer anfällt, wie das etwa bei zeitlich begrenzten Kultur- oder Sportanlässen zutrifft. In solchen Konstellationen erachtet das Bundesgericht unter Verzicht auf eine Umrechnung auf das ganze Jahr die durchschnittliche Lärmbelastung während der eigentlichen Anlassdauer als wesentlich (vgl. Urteil 1A.39/2004 vom 11. Oktober 2004 E. 3.4 in URP 2005 S. 40). BGE 138 II 331 S. 340</w:t>
      </w:r>
    </w:p>
    <w:p>
      <w:r>
        <w:rPr>
          <w:b/>
        </w:rPr>
        <w:t>E. 4.5</w:t>
      </w:r>
    </w:p>
    <w:p>
      <w:r>
        <w:t>Das von der Beschwerdeführerin verfolgte Projekt beruht auf ihrem eigenen unternehmerischen Entscheid, die Bauschuttaufbereitung im Freien durchzuführen. Dafür hat sie die umweltschutzrechtlichen Konsequenzen in Kauf zu nehmen und zu tragen. Die hier fraglichen Maschinen lassen sich dabei gar nicht so einsetzen, dass eine mit Verkehrsachsen vergleichbare Situation entstünde. Es ist daher nicht zulässig, den Lärm, den die beiden anderen Maschinen erzeugen, als Grundpegel und die Emissionen des mobilen Brechers lediglich als einzelne Lärmspitzen zu werten und damit rechnerisch auf das ganze Jahr umzuverteilen. Das würde nämlich bedeuten, dass gerade die Lärmbelastung, die sich durch den Einsatz mehrerer Maschinen ergibt, die allenfalls unzulässigen Lärmspitzen des mobilen Brechers zu rechtfertigen vermöchte. Die Beschwerdeführerin würde dadurch besser gestellt als wenn sie nur den Brecher einsetzte. Dies erscheint nicht nur unlogisch, sondern ist auch nicht mit dem Schutzzweck des Umweltschutzgesetzes vereinbar. Der angefochtene Entscheid, der die Lärmbelastung einzig auf die vorgesehenen Betriebstage des mobilen Brechers und nicht auf die Dauer des Gesamtbetriebs verteilt, folgt insofern grundsätzlich einer Gesetzesinterpretation, die sich am gesetzlichen Schutz- und Vorsorgezweck ausrichtet, was nicht zu beanstanden ist.</w:t>
      </w:r>
    </w:p>
    <w:p>
      <w:r>
        <w:rPr>
          <w:b/>
        </w:rPr>
        <w:t>E. 4.6</w:t>
      </w:r>
    </w:p>
    <w:p>
      <w:r>
        <w:t>Das Verwaltungsgericht hat aufgrund der vorgesehenen 285 Betriebsstunden errechnet, der mobile Brecher werde während 36 Tagen pro Jahr eingesetzt (285 : 8 = 35,6). Es kann hier offenbleiben, ob es sich dabei um eine tatsächliche Feststellung oder eine rechtliche Würdigung - mit den entsprechenden Auswirkungen auf die Kognition des Bundesgerichts - handelt. So oder so erscheint es arbeitstechnisch wenig wahrscheinlich, dass der Brecher an allen Einsatztagen ununterbrochen genutzt werden kann. Schon aus wirtschaftlichen Gründen wird die Beschwerdeführerin, die den Brecher ja zumieten will, allerdings bemüht sein, diesen möglichst optimal zu nutzen und die vorgesehenen 285 Betriebsstunden auf so wenige Einsatztage wie möglich zu verlegen. Da eine Umverteilung des durch den Brecher verursachten Lärms auf das ganze Jahr bzw. auf 200 Arbeitstage aus rechtlichen Gründen entfällt, kommt es in diesem Zusammenhang nicht wesentlich darauf an, ob er nun an 36 Tagen oder ein paar Tagen mehr zum Einsatz gelangt. Die Beschwerdeführerin kann daher nichts zu ihren Gunsten aus der behaupteten fehlerhaften Berechnung der 36 Arbeitstage ableiten. BGE 138 II 331 S. 341</w:t>
      </w:r>
    </w:p>
    <w:p>
      <w:r>
        <w:rPr>
          <w:b/>
        </w:rPr>
        <w:t>E. 4.7</w:t>
      </w:r>
    </w:p>
    <w:p>
      <w:r>
        <w:t>Abstellend auf den während der effektiven Betriebszeit des mobilen Brechers erzeugten Lärm ging das Verwaltungsgericht von einem Beurteilungspegel Lr von 71 dB(A) aus, wofür es sich auf die im Verfahren vor den unteren Instanzen erstellten Fachberichte stützen konnte. Die Beschwerdeführerin wendet dagegen ein, die Vorinstanz habe dadurch den Sachverhalt willkürlich erhoben, dass sie gestützt auf die Baueingabe und den Umweltverträglichkeitsbericht die Dämmwirkung der Materialhaufen lediglich mit 5 dB(A) und damit deutlich zu tief angerechnet habe. Richtigerweise müsse diese mit mindestens 15 dB(A) berücksichtigt werden, da die von der Bau-, Verkehrs- und Energiedirektion des Kantons Bern erteilte Bewilligung mit der Auflage verknüpft worden sei, die Materialhaufen während den kritischen Phasen stets auf voller Höhe zu belassen. Dabei handelt es sich indessen nicht um eine offensichtlich unrichtige Sachverhaltsfeststellung. Mit gutem Grund konnte das Verwaltungsgericht, obwohl es dies nicht vertieft ausgeführt hat, davon ausgehen, dass es kaum möglich sein werde, die Materialhaufen stets auf voller Höhe mit uneingeschränkter Dämmwirkung zu halten, da der gelagerte Bauschutt gerade zwecks Verarbeitung benötigt wird und die in der Breite mit zunehmender Höhe naturgemäss enger werdenden Materialhaufen kaum rundum eine maximale Dämmwirkung zu entfalten vermöchten. Ganz unberücksichtigt blieb der Schutzeffekt jedoch nicht, brachte die Vorinstanz doch einen solchen von immerhin nicht unbedeutenden 5 dB(A) in Anrechnung, wovon auch der Umweltverträglichkeitsbericht ausgegangen war, was die Beschwerdeführerin selbst zugesteht. Die entsprechenden tatsächlichen Feststellungen erscheinen nicht sachfremd bzw. unhaltbar. Der gestützt auf Fachberichte errechnete Beurteilungspegel Lr von 71 dB(A) erweist sich daher für das Bundesgericht als verbindlich.</w:t>
      </w:r>
    </w:p>
    <w:p>
      <w:r>
        <w:rPr>
          <w:b/>
        </w:rPr>
        <w:t>E. 4.8</w:t>
      </w:r>
    </w:p>
    <w:p>
      <w:r>
        <w:t>Der für die Lärm-Empfindlichkeitsstufe IV am Tag massgebliche Planungswert von 65 dB(A) und selbst der Immissionsgrenzwert von 70 dB(A) gemäss Anhang 6 Ziff. 2 LSV werden demnach durch das hier zu beurteilende Projekt nicht eingehalten. Damit stehen Art. 25 Abs. 1 USG und Art. 7 Abs. 1 LSV der Erteilung der von der Beschwerdeführerin verlangten Bewilligung entgegen.</w:t>
      </w:r>
    </w:p>
    <w:p>
      <w:r>
        <w:rPr>
          <w:b/>
        </w:rPr>
        <w:t>E. 5.1</w:t>
      </w:r>
    </w:p>
    <w:p>
      <w:r>
        <w:t>Ist eine Bewilligung dem Grundsatz nach ausgeschlossen, bleibt zu prüfen, ob deren ausnahmsweise Erteilung gestützt auf Art. 25 Abs. 2 USG bzw. Art. 7 Abs. 2 LSV in Frage käme. Voraussetzung BGE 138 II 331 S. 342 dafür ist ein überwiegendes öffentliches Interesse sowie dass die Immissionsgrenzwerte nicht überschritten werden. Massgeblich sind auch hier die konkreten Umstände des Einzelfalles, wobei grundsätzlich mit zu prüfen ist, ob die Einhaltung des Planungswertes zu einer unverhältnismässigen Belastung für das Projekt führen würde (vgl. URSULA BRUNNER UND ANDERE, Kommentar zum Umweltschutzgesetz, 2. Aufl. 2002, N. 67 ff. zu Art. 25 USG ). Entscheidend muss es aber auch darauf ankommen, wie viele Lärmspitzen über den Grenzwerten den Menschen auf den umliegenden Grundstücken zumutbar sind.</w:t>
      </w:r>
    </w:p>
    <w:p>
      <w:r>
        <w:rPr>
          <w:b/>
        </w:rPr>
        <w:t>E. 5.2</w:t>
      </w:r>
    </w:p>
    <w:p>
      <w:r>
        <w:t>Im vorliegenden Fall scheitert eine solche Erleichterung schon am Verbot der Überschreitung des Immissionsgrenzwertes. Wie das Verwaltungsgericht richtig festgehalten hat, werden im Übrigen in der bundesgerichtlichen Rechtsprechung stark lärmige Anlässe mit beschränkter Dauer und Häufigkeit in einem ortsüblichen Umfang allgemein als zumutbar beurteilt. Dabei steht den Behörden ein gewisser Beurteilungsspielraum zu, sofern es sich um Brauchtums- oder Sportanlässe, Freiluftkonzerte, Umzüge, Festanlässe, Fasnacht und dergleichen mit lokaler Ausprägung oder Tradition handelt (vgl. BGE 126 II 300 E. 4c/dd S. 309; Urteil 1C_169/2008 vom 5. Dezember 2008 E. 11.4.2 in URP 2009 S. 123; THOMAS WIDMER DREIFUSS, Planung und Realisierung von Sportanlagen, 2002, 356 ff.). Die Verarbeitung von Bauschutt dient zwar auch der Nachhaltigkeit (vgl. Art. 73 BV ) und steht überdies unter dem Schutz der Wirtschaftsfreiheit ( Art. 27 BV ). Das Projekt der Beschwerdeführerin beruht aber weder auf besonderer Tradition und Ortsüblichkeit noch dient es einem ausgeprägten öffentlichen Interesse, sondern verfolgt überwiegend ihre eigenen geschäftlichen Interessen. Es kann hier offenbleiben, bei welcher genauen Anzahl von Tagen die Voraussetzung der beschränkten Dauer oder Häufigkeit der überhöhten Lärmerzeugung noch erfüllt wäre. Mit einer vorgesehenen Betriebstätigkeit des mobilen Brechers an mindestens 36 Tagen übersteigt das Vorhaben der Beschwerdeführerin jedenfalls eindeutig eine Grössenordnung, bei der noch von einer begrenzten Dauer im eher unwahrscheinlichen Fall, dass der Einsatz des Brechers einphasig erfolgen sollte, oder von einer beschränkten Häufigkeit bei einem wahrscheinlicheren wiederholten bzw. mehrphasigen Einsatz des Brechers ausgegangen werden könnte. Eine nur schon den Planungswert übersteigende Lärmbelastung an mindestens 36 Tagen im Jahr BGE 138 II 331 S. 343 ist den Menschen auf den Nachbarliegenschaften nicht zumutbar. Überdies ist nicht nachgewiesen oder auch nur ersichtlich, dass die Verweigerung einer Erleichterung eine unverhältnismässige Belastung des Projekts der Beschwerdeführerin mit sich brächte.</w:t>
      </w:r>
    </w:p>
    <w:p>
      <w:r>
        <w:rPr>
          <w:b/>
        </w:rPr>
        <w:t>E. 5.3</w:t>
      </w:r>
    </w:p>
    <w:p>
      <w:r>
        <w:t>Damit verbietet es sich, der Beschwerdeführerin für ihr Baugesuch eine Erleichterung im Sinne von Art. 25 Abs. 2 USG bzw. Art. 7 Abs. 2 LSV zu gewähren. Der angefochtene Entscheid hält mithin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