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799</w:t>
      </w:r>
    </w:p>
    <w:p>
      <w:r>
        <w:t>Bundesgericht (BGE), 2012-11-14, FR</w:t>
      </w:r>
    </w:p>
    <w:p>
      <w:r>
        <w:rPr>
          <w:b/>
        </w:rPr>
        <w:t xml:space="preserve">Quelle: </w:t>
      </w:r>
      <w:r>
        <w:t>https://mcp.opencaselaw.ch/entscheid/bge_BGE_138_III_799</w:t>
      </w:r>
    </w:p>
    <w:p>
      <w:r>
        <w:t>FR: ATF 138 III 799</w:t>
      </w:r>
    </w:p>
    <w:p>
      <w:r>
        <w:t>IT: DTF 138 III 799</w:t>
      </w:r>
    </w:p>
    <w:p>
      <w:pPr>
        <w:pStyle w:val="Heading2"/>
      </w:pPr>
      <w:r>
        <w:t>Regeste</w:t>
      </w:r>
    </w:p>
    <w:p>
      <w:r>
        <w:t>Regeste Art. 7 ZPO, Art. 74 Abs. 2 lit. b und Art. 75 Abs. 2 lit. a BGG; einzige kantonale Instanz. Ermächtigt das Bundesrecht, wie zum Beispiel in Art. 7 ZPO, die Kantone, eine einzige kantonale Instanz vorzusehen, und haben diese von dieser Ermächtigung Gebrauch gemacht, entscheidet die kantonale Instanz rechtsgültig als einzige kantonale Instanz (Art. 75 Abs. 2 lit. a BGG) und ist die Beschwerde in Zivilsachen unabhängig vom Streitwert zulässig (Art. 74 Abs. 2 lit. b BGG; E. 1.1).</w:t>
      </w:r>
    </w:p>
    <w:p>
      <w:r>
        <w:t>Regeste Art. 7 CPC, art. 74 al. 2 let. b et art. 75 al. 2 let. a LTF; instance cantonale unique. Lorsque le droit fédéral, à l'instar de l'art. 7 CPC, permet aux cantons de prévoir une instance unique et que ceux-ci ont fait usage de cette faculté, le tribunal cantonal peut valablement statuer en instance unique (art. 75 al. 2 let. a LTF) et le recours en matière civile est recevable sans égard à la valeur litigieuse (art. 74 al. 2 let. b LTF; consid. 1.1).</w:t>
      </w:r>
    </w:p>
    <w:p>
      <w:r>
        <w:t>Regesto Art. 7 CPC, art. 74 cpv. 2 lett. b e art. 75 cpv. 2 lett. a LTF; istanza cantonale unica. Quando il diritto federale alla stregua dell'art. 7 CPC permette ai Cantoni di prevedere un'istanza unica e che questi hanno fatto uso di tale facoltà, il tribunale cantonale può validamente giudicare quale unica istanza (art. 75 cpv. 2 lett. a LTF) e il ricorso in materia civile è ammissibile senza riguardo al valore litigioso (art. 74 cpv. 2 lett. b LTF; consid. 1.1).</w:t>
      </w:r>
    </w:p>
    <w:p>
      <w:pPr>
        <w:pStyle w:val="Heading2"/>
      </w:pPr>
      <w:r>
        <w:t>Erwägungen</w:t>
      </w:r>
    </w:p>
    <w:p>
      <w:r>
        <w:rPr>
          <w:b/>
        </w:rPr>
        <w:t>E. 1.1</w:t>
      </w:r>
    </w:p>
    <w:p>
      <w:r>
        <w:t>Selon l' art. 7 CPC (RS 272), les cantons peuvent instituer un tribunal qui statue en tant qu'instance cantonale unique sur les litiges portant sur les assurances complémentaires à l'assurance-maladie sociale selon la loi fédérale du 8 mars 1994 sur l'assurance-maladie (LAMal; RS 832.10). Le canton de Genève a fait usage de cette faculté en prévoyant, à l' art. 134 al. 1 let . c de la loi genevoise du 26 septembre 2010 sur l'organisation judiciaire (LOJ; RSG E 2 05), que la Chambre des assurances sociales connaît en instance cantonale unique des contestations relatives aux assurances complémentaires à l'assurance-maladie obligatoire. Avec l'entrée en vigueur du CPC, l'art. 74 al. 2 let. b et l' art. 75 al. 2 let. a LTF ont été modifiés en ce sens que la formule "une loi fédérale prescrit une instance cantonale unique" a été remplacée par la phrase "une loi fédérale prévoit une instance cantonale unique". Il ressort clairement des travaux préparatoires que la volonté du législateur, en adoptant cette modification, était d'englober non seulement les cas où le droit fédéral impose une instance cantonale unique, mais aussi les cas où il permet au droit cantonal de prévoir une instance cantonale unique et que le droit cantonal a fait usage de cette faculté (Procès-verbal de la séance du 3 avril 2008 de la Commission des affaires juridiques du Conseil national, p. 9; cf. arrêts 4A_595/2011 du 17 février 2012 consid. 1.1; 4A_445/2010 du 1 er décembre 2010 consid. 1.1; 4A_412/2010 du 27 septembre 2010 consid. 1.2.3). Il résulte donc de l' art. 7 CPC que l'on se trouve en présence d'un cas où, selon la nouvelle formulation de la LTF, une loi fédérale prévoit une instance cantonale unique. En conséquence, la cour cantonale a valablement statué en instance unique ( art. 75 al. 2 let. a LTF ) et le recours est recevable sans égard à la valeur litigieuse ( art. 74 al. 2 let. b LTF ). L'argumentation de l'intimée tendant à l'irrecevabilité du recours doit donc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