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797</w:t>
      </w:r>
    </w:p>
    <w:p>
      <w:r>
        <w:t>Bundesgericht (BGE), 2012-08-30, DE</w:t>
      </w:r>
    </w:p>
    <w:p>
      <w:r>
        <w:rPr>
          <w:b/>
        </w:rPr>
        <w:t xml:space="preserve">Quelle: </w:t>
      </w:r>
      <w:r>
        <w:t>https://mcp.opencaselaw.ch/entscheid/bge_BGE_138_III_797</w:t>
      </w:r>
    </w:p>
    <w:p>
      <w:r>
        <w:t>FR: ATF 138 III 797</w:t>
      </w:r>
    </w:p>
    <w:p>
      <w:r>
        <w:t>IT: DTF 138 III 797</w:t>
      </w:r>
    </w:p>
    <w:p>
      <w:pPr>
        <w:pStyle w:val="Heading2"/>
      </w:pPr>
      <w:r>
        <w:t>Regeste</w:t>
      </w:r>
    </w:p>
    <w:p>
      <w:r>
        <w:t>Regeste Art. 82 Abs. 1 SchKG; Schuldanerkennung; unterzeichnete Anerkennung eines Kontokorrentsaldos. Die unterschriftliche Anerkennung eines Kontokorrentsaldos verliert mit dem Vortrag des anerkannten Saldos auf neue Rechnung ihre Eignung als Schuldanerkennung im Sinne von Art. 82 Abs. 1 SchKG (E. 4.2).</w:t>
      </w:r>
    </w:p>
    <w:p>
      <w:r>
        <w:t>Regeste Art. 82 al. 1 LP; reconnaissance de dette; acceptation écrite du solde d'un compte-courant. L'acceptation écrite du solde d'un compte-courant perd sa qualité de reconnaissance de dette au sens de l'art. 82 al. 1 LP lorsque le solde reconnu est reporté à nouveau (consid. 4.2).</w:t>
      </w:r>
    </w:p>
    <w:p>
      <w:r>
        <w:t>Regesto Art. 82 cpv. 1 LEF; riconoscimento di debito; riconoscimento mediante firma di un saldo di un conto corrente. Il riconoscimento mediante firma di un saldo di un conto corrente perde la sua qualità di riconoscimento di debito nel senso dell'art. 82 cpv. 1 LEF qualora il saldo riconosciuto sia riportato su un conto nuovo (consid. 4.2).</w:t>
      </w:r>
    </w:p>
    <w:p>
      <w:pPr>
        <w:pStyle w:val="Heading2"/>
      </w:pPr>
      <w:r>
        <w:t>Erwägungen</w:t>
      </w:r>
    </w:p>
    <w:p>
      <w:r>
        <w:rPr>
          <w:b/>
        </w:rPr>
        <w:t>E. 4</w:t>
      </w:r>
    </w:p>
    <w:p>
      <w:r>
        <w:t>(...)</w:t>
      </w:r>
    </w:p>
    <w:p>
      <w:r>
        <w:rPr>
          <w:b/>
        </w:rPr>
        <w:t>E. 4.2</w:t>
      </w:r>
    </w:p>
    <w:p>
      <w:r>
        <w:t>Das Bundesgericht hat sich bis anhin nicht abschliessend zur Frage geäussert, ob und gegebenenfalls unter welchen Voraussetzungen die unterzeichnete Anerkennung eines Kontokorrentsaldos ihre Eigenschaft als Schuldanerkennung im Sinne von Art. 82 Abs. 1 SchKG einbüsst, wenn das ihr zugrunde liegende vertragliche Kontokorrentverhältnis weitergeführt wird (vgl. BGE 132 III 480 E. 5 S. 483). In einem amtlich nicht veröffentlichten Urteil betreffend den Kontokorrentvertrag zwischen einer Geschäftsbank und einem privaten Kreditnehmer billigt das Bundesgericht zwar die Ansicht des dortigen Beschwerdeführers, wonach die Anerkennung von auf neue Rechnung übertragenen Saldi aufgrund der novatorischen Wirkung gemäss Art. 117 Abs. 2 OR zur Folge habe, dass die früheren Richtigbefundanzeigen ihre Wirkung als Schuldanerkennungen im Sinne von Art. 82 SchKG verlören (Urteil 5P.334/1993 vom 18. November 1993 E. 3, in: Rep. 1994 S. 257). Aus dieser Rechtsprechung folgt allerdings nicht, dass die Titelqualität eines unterschriftlich anerkannten Kontokorrentsaldos erst dann entfiele, wenn der Schuldner zu einem späteren Zeitpunkt einen weiteren, neuen Saldo anerkennt und damit im Sinne von Art. 117 Abs. 2 OR eine Novation der Kontokorrentforderung bewirkt (so NAEF, Conto corrente e rigetto provvisorio dell'opposizione, RDAT 1997 II S. 252). Wird der Saldo einer abgeschlossenen Rechnungsperiode in einem fortgesetzten Kontokorrentverhältnis nicht bezahlt, sondern einverständlich auf neue Rechnung vorgetragen, so verliert er dadurch seine selbständige Natur und wird zu einem Posten dieser neuen Rechnung, bestimmt, in dem Saldo derselben aufzugehen ( BGE 19 I 401 E. 5 S. 408 f.). Dies aber bedeutet aus betreibungsrechtlicher Sicht nichts anderes, als dass die unterschriftliche Anerkennung eines Kontokorrentsaldos ihre Eignung als provisorischer Rechtsöffnungstitel mit dem Vortrag des anerkannten Saldos auf neue Rechnung verliert. Als Schuldanerkennung im Sinne von BGE 138 III 797 S. 799 Art. 82 Abs. 1 SchKG taugt eine solche Richtigbefundanzeige nur, wenn der Schuldner sie nach erfolgter Kündigung des Kontokorrentvertrages ausgestellt hat und wenn der anerkannte Saldo nicht auf neue Rechnung vorgetragen wurde und auf dem Konto auch keine weiteren materiellen Geschäftstransaktionen stattgefunden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