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742</w:t>
      </w:r>
    </w:p>
    <w:p>
      <w:r>
        <w:t>Bundesgericht (BGE), 2012-11-01, DE</w:t>
      </w:r>
    </w:p>
    <w:p>
      <w:r>
        <w:rPr>
          <w:b/>
        </w:rPr>
        <w:t xml:space="preserve">Quelle: </w:t>
      </w:r>
      <w:r>
        <w:t>https://mcp.opencaselaw.ch/entscheid/bge_BGE_138_III_742</w:t>
      </w:r>
    </w:p>
    <w:p>
      <w:r>
        <w:t>FR: ATF 138 III 742</w:t>
      </w:r>
    </w:p>
    <w:p>
      <w:r>
        <w:t>IT: DTF 138 III 742</w:t>
      </w:r>
    </w:p>
    <w:p>
      <w:pPr>
        <w:pStyle w:val="Heading2"/>
      </w:pPr>
      <w:r>
        <w:t>Regeste</w:t>
      </w:r>
    </w:p>
    <w:p>
      <w:r>
        <w:t>Regeste Art. 732 Abs. 2 ZGB; Plan für das Grundbuch. Ein privat erstellter Plan, namentlich auch der Architektenplan, ist kein Auszug des Planes für das Grundbuch im Sinn der vorgenannten Bestimmung (E. 2).</w:t>
      </w:r>
    </w:p>
    <w:p>
      <w:r>
        <w:t>Regeste Art. 732 al. 2 CC; plan du registre foncier. Un plan privé, et en particulier un plan dressé par un architecte, ne constitue pas un extrait de plan du registre foncier au sens de la disposition précitée (consid. 2).</w:t>
      </w:r>
    </w:p>
    <w:p>
      <w:r>
        <w:t>Regesto Art. 732 cpv. 2 CC; piano per il registro fondiario. Un piano allestito da un privato, in particolare anche il piano allestito da un architetto, non costituisce un estratto del piano per il registro fondiario nel senso della summenzionata disposizione (consid. 2).</w:t>
      </w:r>
    </w:p>
    <w:p>
      <w:pPr>
        <w:pStyle w:val="Heading2"/>
      </w:pPr>
      <w:r>
        <w:t>Erwägungen</w:t>
      </w:r>
    </w:p>
    <w:p>
      <w:r>
        <w:rPr>
          <w:b/>
        </w:rPr>
        <w:t>E. 2</w:t>
      </w:r>
    </w:p>
    <w:p>
      <w:r>
        <w:t>Streitgegenstand ist, ob ein Architektenplan als Plan für das Grundbuch im Sinn von Art. 732 Abs. 2 ZGB dienen kann. Das Grundbuchamt wie auch das Obergericht haben die Frage verneint und befunden, im Kanton Luzern seien entsprechend dem Informationsschreiben der Leitung Gruppe Grundbuch vom 19. Dezember 2011 nur drei Varianten als Plan für das Grundbuch zu akzeptieren, nämlich der Plan des Geometers (Format A4 oder A3), der Ausdruck aus dem GRAVIS oder der Ausdruck aus dem Geoportal. Die Beschwerdeführerin hält dies für bundesrechtswidrig bzw. der ratio legis von Art. 732 Abs. 2 ZGB widersprechend, indem der Sinn und Zweck der zeichnerischen Darstellung einzig darin bestehe, spätere Meinungsverschiedenheiten zwischen den Rechtsnachfolgern zu vermeiden. Vorliegend entspreche der Architektenplan exakt dem Grundbuchplan, wie er im Internet aufgeschaltet sei, und die geplante Lagerhalle sei massstabgetreu eingezeichnet; der Architektenplan entspreche somit im Ergebnis dem Plan des Geometers.</w:t>
      </w:r>
    </w:p>
    <w:p>
      <w:r>
        <w:rPr>
          <w:b/>
        </w:rPr>
        <w:t>E. 2.1</w:t>
      </w:r>
    </w:p>
    <w:p>
      <w:r>
        <w:t>Das Näherbaurecht wird in der Form einer Dienstbarkeit begründet. Diese belastet ein Grundstück immer als Ganzes. Die Parteien können die Ausübung einer Dienstbarkeit jedoch auf einen Teil des Grundstücks beschränken, was beim Näherbaurecht regelmässig zutrifft; diesfalls muss der betreffende Teil anhand des Vertrages bzw. eines Planes eruiert werden können (HÜRLIMANN-KAUP, Neuerungen im Dienstbarkeitsrecht, in: Die Dienstbarkeiten und das neue Schuldbriefrecht, 2012, S. 36). BGE 138 III 742 S. 744</w:t>
      </w:r>
    </w:p>
    <w:p>
      <w:r>
        <w:rPr>
          <w:b/>
        </w:rPr>
        <w:t>E. 2.2</w:t>
      </w:r>
    </w:p>
    <w:p>
      <w:r>
        <w:t>Im Rahmen der am 1. Januar 2012 in Kraft getretenen Sachenrechtsrevision wurde diesbezüglich Art. 732 ZGB neu gefasst und präzisiert: Beschränkt sich die Ausübung einer Dienstbarkeit auf einen Teil des Grundstücks und ist die örtliche Lage im Rechtsgrundausweis nicht genügend bestimmbar umschrieben, so ist sie gemäss Art. 732 Abs. 2 ZGB in einem Auszug des Planes für das Grundbuch zeichnerisch darzustellen. Was ein "Plan für das Grundbuch" ist, wird aufgrund der Verweise in Art. 950 ZGB , Art. 29 Abs. 2 lit. e und Abs. 3 des Bundesgesetzes vom 5. Oktober 2007 über Geoinformation (Geoinformationsgesetz, GeoIG; SR 510.62) sowie Art. 2 lit. f der Grundbuchverordnung vom 23. September 2011 (GBV; SR 211.432.1) in Art. 7 Abs. 1 der Verordnung vom 18. November 1992 über die amtliche Vermessung (VAV; SR 211.432.2) verbindlich definiert: "Es handelt sich um einen aus den Daten der amtlichen Vermessung erstellten analogen oder digitalen graphischen Auszug, der als Bestandteil des Grundbuchs die Liegenschaften sowie die flächenmässig ausgeschiedenen selbständigen und dauernden Rechte und Bergwerke abgrenzt; ihm kommen die Rechtswirkungen von Eintragungen im Grundbuch zu." Der Plan für das Grundbuch ist mithin ein graphischer Auszug aus dem Grunddatensatz, der die Grundstücke voneinander abgrenzt und am öffentlichen Glauben des Grundbuches teilhat (vgl. ZOBL, Grundbuchrecht, 2. Aufl. 2004, Rz. 233 und 235). Gemäss der Botschaft zur Revision des Sachenrechts ist im Zusammenhang mit Art. 732 Abs. 2 ZGB kein eigentlicher, vom Geometer ausgestellter und unterzeichneter Plan, wie dies bislang praxisgemäss in verschiedenen Kantonen verlangt wurde, erforderlich; es soll vielmehr ein Auszug aus dem Plan für das Grundbuch, der beispielsweise aus dem Internet heruntergeladen wurde und auf welchem die Grundstücksgrenzen und die Lage der Gebäude sichtbar sind, genügen (vgl. Botschaft vom 27. Juni 2007 zur Änderung des Schweizerischen Zivilgesetzbuches [Register-Schuldbrief und weitere Änderungen im Sachenrecht], BBl 2007 5310 Ziff. 2.2.1.1). In der Lehre wird darauf hingewiesen, dass es sich um einen aktuellen Plan desNachführungsgeometers mit sichtbaren Grundstückgrenzen und Grundstücknummern handeln muss, wobei die Einzeichnungen der Dienstbarkeiten nicht zwingend vom Nachführungsgeometer vorgenommen werden müssen (PFÄFFLI, Neuerungen im Dienstbarkeitsrecht, in: Revision des Immobiliarsachenrechts, 2011, S. 121; derselbe Dienstbarkeitsvertrag und grundbuchlicher Vollzug, in: Die Dienstbarkeiten BGE 138 III 742 S. 745 und das neue Schuldbriefrecht, 2012, S. 89; PFÄFFLI/BYLAND, Sachenrecht und Notar: Neuerungen, Der bernische Notar 2011 S. 80; ARNET, Neuerungen bei den Dienstbarkeiten, in: Revision des Sachenrechts - ein erster Überblick für Eilige, 2012, S. 10 f.; SCHMID, Das Dienstbarkeitsrecht im Lichte der Revision des Immobiliarsachenrechts, ZBGR 93/2012 S. 157). Im Unterschied zur amtlichen Vermessung, welche als Bestandteil des Grundbuches die genauen Grenzverläufe der Grundstücke festhält, finden die privaten Einzeichnungen keinen Eingang ins Vermessungswerk und sie bilden auch nicht Gegenstand des öffentlichen Glaubens (PFÄFFLI, Dienstbarkeiten: Neuerungen mit besonderer Berücksichtigung des Bereinigungsverfahrens, ZBGR 91/2010 S. 362). Während nach dem Gesagten die Parteien die Einzeichnungen selber vornehmen können, genügt ein privat erstellter Plan nach neuem Recht nicht mehr (SCHMID/HÜRLIMANN-KAUP, Sachenrecht, 4. Aufl. 2012, Rz. 1246; HÜRLIMANN-KAUP, a.a.O., S. 36; anders das frühere Recht, vgl. Urteil 5A_641/2008 vom 8. Januar 2009 E. 4.1; anders auch in noch unvermessenen Gebieten, vgl. Botschaft, BBl 2007 5310 Ziff. 2.2.1.1). Die Behauptung der Beschwerdeführerin, dass der von ihr eingereichte Plan materiell allen Anforderungen genüge oder sogar darüber hinausgehe, stösst deshalb ins Leere. Sie geht ferner deshalb an der Sache vorbei, weil die materielle Prüfungsbefugnis des Grundbuchverwalters beschränkt ist (vgl. BGE 124 III 341 E. 2b) und ihm - ebenso dem verurkundenden Notar - auch faktisch nicht zuzumuten wäre, die Übereinstimmung der im Architektenplan eingezeichneten Grenzverläufe auf ihre tatsächliche Übereinstimmung mit dem Vermessungswerk abzugleichen. Indes hat der Grundbuchverwalter, soweit die örtliche Lage im Rechtsgrundausweis nicht genügend bestimmbar umschrieben werden kann und deshalb ein Plan nötig ist, gemäss Art. 70 Abs. 3 GBV zu prüfen, ob es sich dabei um einen Auszug des Planes für das Grundbuch handelt. Dass ein Architektenplan nicht zwingend den Daten der amtlichen Vermessung entsprechen muss, stellt im Übrigen auch die Beschwerdeführerin nicht in Abrede. Insbesondere ist, selbst wenn der Architekt die Rohdaten online direkt in sein eigenes System übernommen hat, nicht sichergestellt, dass diese in der Folge nicht verändert worden sind. Das ist nicht der Fall, wenn der Plan direkt aus den Registerdaten der amtlichen Vermessung generiert und über das Publikationsportal ausgedruckt wird. Theoretisch wäre auch hier eine anschliessende Manipulation möglich; indes würde es sich um eine bewusste Änderung BGE 138 III 742 S. 746 handeln, während es bei den ins eigene System gelesenen Daten ohne weiteres zu unbeabsichtigten Veränderungen kommen kann.</w:t>
      </w:r>
    </w:p>
    <w:p>
      <w:r>
        <w:rPr>
          <w:b/>
        </w:rPr>
        <w:t>E. 2.3</w:t>
      </w:r>
    </w:p>
    <w:p>
      <w:r>
        <w:t>Aus dem vorstehend Gesagten ergibt sich, dass ein Architektenplan nicht als Plan für das Grundbuch im Sinn von Art. 732 Abs. 2 ZGB taugt und die Beschwerde in Zivilsachen deshalb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