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681</w:t>
      </w:r>
    </w:p>
    <w:p>
      <w:r>
        <w:t>Bundesgericht (BGE), 2012-08-06, DE</w:t>
      </w:r>
    </w:p>
    <w:p>
      <w:r>
        <w:rPr>
          <w:b/>
        </w:rPr>
        <w:t xml:space="preserve">Quelle: </w:t>
      </w:r>
      <w:r>
        <w:t>https://mcp.opencaselaw.ch/entscheid/bge_BGE_138_III_681</w:t>
      </w:r>
    </w:p>
    <w:p>
      <w:r>
        <w:t>FR: ATF 138 III 681</w:t>
      </w:r>
    </w:p>
    <w:p>
      <w:r>
        <w:t>IT: DTF 138 III 681</w:t>
      </w:r>
    </w:p>
    <w:p>
      <w:pPr>
        <w:pStyle w:val="Heading2"/>
      </w:pPr>
      <w:r>
        <w:t>Regeste</w:t>
      </w:r>
    </w:p>
    <w:p>
      <w:r>
        <w:t>Regeste a Einrede der Schiedsgerichtsbarkeit; Kognition des staatlichen Gerichts bei der Beurteilung einer Schiedsvereinbarung (Art. 7 IPRG). Das staatliche Gericht, das eine Schiedsvereinbarung zugunsten eines Schiedsgerichts mit Sitz in der Schweiz zu beurteilen hat, darf und muss bloss summarisch prüfen, ob diese seine eigene Zuständigkeit ausschliesst (Bestätigung der Rechtsprechung; E. 3.2). Anwendung auf den Fall, dass Uneinigkeit darüber besteht, ob sich die Schiedsvereinbarung auf die vor dem staatlichen Gericht geltend gemachten Ansprüche erstreckt (E. 3.3).</w:t>
      </w:r>
    </w:p>
    <w:p>
      <w:r>
        <w:t>Regeste b Auslegung einer Schiedsvereinbarung. Wenn eine Schiedsvereinbarung so formuliert ist, dass sie auch die sich "im Zusammenhang mit dem" Vertrag ergebenden Streitigkeiten erfassen soll, ist im Sinne des mutmasslichen Parteiwillens davon auszugehen, dass die Parteien alle Ansprüche, die sich aus dem vom Vertrag geregelten Sachverhalt ergeben oder diesen unmittelbar berühren, der ausschliesslichen Zuständigkeit des Schiedsgerichts zuweisen wollten (E. 4.4).</w:t>
      </w:r>
    </w:p>
    <w:p>
      <w:r>
        <w:t>Regeste a Exception d'arbitrage; pouvoir d'examen du juge étatique à l'égard d'une convention d'arbitrage (art. 7 LDIP). Appelé à examiner une convention d'arbitrage en faveur d'un tribunal arbitral ayant son siège en Suisse, le tribunal étatique peut et doit se limiter à contrôler sommairement si cette convention exclut sa propre compétence (confirmation de la jurisprudence; consid. 3.2). Application au cas où il y a désaccord sur le point de savoir si la convention d'arbitrage s'étend aux prétentions invoquées devant le tribunal étatique (consid. 3.3).</w:t>
      </w:r>
    </w:p>
    <w:p>
      <w:r>
        <w:t>Regeste b Interprétation d'une convention d'arbitrage. Lorsqu'une convention d'arbitrage est rédigée de manière telle qu'elle couvre aussi les différends apparaissant "en rapport avec" le contrat, il faut en conclure, selon la volonté présumée des parties, que celles-ci entendaient soumettre à la compétence exclusive du tribunal arbitral toutes les prétentions qui résultent de l'état de fait régi par le contrat ou qui le touchent directement (consid. 4.4).</w:t>
      </w:r>
    </w:p>
    <w:p>
      <w:r>
        <w:t>Regesto a Eccezione di arbitrato; potere di esame del tribunale statale nel giudicare un patto d'arbitrato (art. 7 LDIP). Il tribunale statale, che deve giudicare un patto d'arbitrato in favore di un tribunale arbitrale con sede in Svizzera, può e deve esaminare in modo solo sommario se tale patto esclude la sua competenza (conferma della giurisprudenza; consid. 3.2). Applicazione al caso in cui sussiste un disaccordo sulla questione a sapere se il patto d'arbitrato si estenda alle pretese fatte valere innanzi al tribunale statale (consid. 3.3).</w:t>
      </w:r>
    </w:p>
    <w:p>
      <w:r>
        <w:t>Regesto b Interpretazione di un patto d'arbitrato. Se un patto di arbitrato è formulato in modo tale da includere anche le controversie "in relazione con" il contratto, si deve dedurne che, secondo la presumibile volontà delle parti, queste abbiano voluto deferire esclusivamente al tribunale arbitrale tutte le pretese derivanti dalla fattispecie regolata dal contratto o che lo toccano direttamente (consid. 4.4).</w:t>
      </w:r>
    </w:p>
    <w:p>
      <w:pPr>
        <w:pStyle w:val="Heading2"/>
      </w:pPr>
      <w:r>
        <w:t>Erwägungen</w:t>
      </w:r>
    </w:p>
    <w:p>
      <w:r>
        <w:rPr>
          <w:b/>
        </w:rPr>
        <w:t>E. 3.1</w:t>
      </w:r>
    </w:p>
    <w:p>
      <w:r>
        <w:t>Die Beschwerdegegnerin (Y.) wohnt in Deutschland, die Beschwerdeführerin hat ihren Sitz in Zürich. Es liegt mithin ein internationales Verhältnis im Sinne von Art. 1 IPRG (SR 291) vor. Die strittige Frage, ob und inwieweit die Vorinstanz angesichts der Schiedseinrede der Beschwerdeführerin zur Entscheidung der ihr unterbreiteten Streitsache zuständig ist, ist damit nach den einschlägigen Bestimmungen des IPRG zu entscheiden, unter Vorbehalt völkerrechtlicher Verträge ( Art. 1 Abs. 1 lit. a und Art. 1 Abs. 2 IPRG ). Da die Beschwerdeführerin eine Schiedsvereinbarung anruft, laut der das vereinbarte Schiedsgericht seinen Sitz in der Schweiz hat, ist die Schiedseinrede nach Art. 7 IPRG zu beurteilen ( BGE 122 III 139 E. 2a). Gemäss dieser Bestimmung lehnt das angerufene BGE 138 III 681 S. 684 schweizerische Gericht seine Zuständigkeit ab, falls die Parteien über eine schiedsfähige Streitsache eine Schiedsvereinbarung getroffen haben, es sei denn, a. der Beklagte habe sich vorbehaltlos auf das Verfahren eingelassen, b. das Gericht stelle fest, die Schiedsvereinbarung sei hinfällig, unwirksam oder nicht erfüllbar, oder c. das Schiedsgericht könne nicht bestellt werden aus Gründen, für die der im Schiedsverfahren Beklagte offensichtlich einzustehen hat. Der Umstand, dass eine gültige und auf den Streitgegenstand anwendbare Schiedsvereinbarung vorliegt, führt also mangels Einlassung des Beklagten grundsätzlich dazu, dass das staatliche Gericht den Kläger auf das Schiedsverfahren zu verweisen hat, und zwar unabhängig davon, ob dieses bereits eingeleitet wurde oder nicht (vgl. BGE 124 III 83 E. 5b S. 87; Urteil 4A_279/2010 vom 25. Oktober 2010 E. 2).</w:t>
      </w:r>
    </w:p>
    <w:p>
      <w:r>
        <w:rPr>
          <w:b/>
        </w:rPr>
        <w:t>E. 3.2</w:t>
      </w:r>
    </w:p>
    <w:p>
      <w:r>
        <w:t>Wird vor dem angerufenen staatlichen Gericht der Einwand seiner Unzuständigkeit zugunsten eines Schiedsgerichts mit Sitz in der Schweiz erhoben, steht dem staatlichen Gericht nach der bundesgerichtlichen Rechtsprechung nur eine beschränkte Kognition zu. Es hat seine Zuständigkeit abzulehnen, wenn nicht eine summarische Prüfung der Schiedsvereinbarung deren Hinfälligkeit, Unwirksamkeit oder Nichterfüllbarkeit ergibt ( BGE 122 III 139 E. 2b). Damit soll verhindert werden, dass der Entscheid des Schiedsgerichts über seine eigene Zuständigkeit ( Art. 186 Abs. 1 und 1 bis IPRG ) durch den Entscheid des staatlichen Gerichts präjudiziert wird. Diese Rechtsprechung ist in der Lehre teilweise auf Kritik gestossen, die hauptsächlich damit begründet wird, dass sich aus dem Gesetzestext keine Beschränkung der Kognition ergebe und dass eine solche auch nicht angebracht sei, da das mit einer Schiedseinrede befasste staatliche Gericht in erster Linie über seine eigene Zuständigkeit und nur indirekt über diejenige des Schiedsgerichts entscheide (so etwa BERGER/KELLERHALS, International and Domestic Arbitration in Switzerland, 2. Aufl. 2010, S. 87 f. Rz. 316 f.; BERTI, in: Basler Kommentar, Internationales Privatrecht, 2. Aufl. 2007, N. 8 zu Art. 7 IPRG ; LIATOWITSCH, Die Anwendung der Litispendenzregeln von Art. 9 IPRG durch schweizerische Schiedsgerichte: Ein Paradoxon?, ASA Bulletin 2001 S. 422 ff., 434 Fn. 36; POUDRET, Exception d'arbitrage et litispendance en droit suisse, ASA Bulletin 2007 S. 230 ff., 232-236; POUDRET/BESSON, Comparative Law of International Arbitration, 2. Aufl. 2007, S. 431-434 Rz. 502-504; zustimmend dagegen GAILLARD, L'effet négatif de la compétence-compétence, in: Etudes BGE 138 III 681 S. 685 de procédure et d'arbitrage en l'honneur de Jean-François Poudret, 1999, S. 387 ff., 393 f.; derselbe , La reconnaissance, en droit suisse, de la seconde moitié du principe d'effet négatif de la compétence-compétence, in: Liber Amicorum in honour of Robert Briner, 2005, S. 311 ff., 322 f.; KAUFMANN-KOHLER/RIGOZZI, Arbitrage international, 2. Aufl. 2010, S. 247 Rz. 443; MAYER, Die Überprüfung internationaler Schiedsvereinbarungen durch staatliche Gerichte (...), ASA Bulletin 1996, S. 361 ff., 363, 379; PFISTERER/SCHNYDER, International Arbitration in Switzerland, 2012, S. 44; vgl. nun auch WENGER/SCHOTT, in: Basler Kommentar, Internationales Privatrecht, 2. Aufl. 2007, N. 7a f. zu Art. 186 IPRG ). Das Bundesgericht hat die in BGE 122 III 139 E. 2b begründete Rechtsprechung seither wiederholt bestätigt (Urteile 4A_436/2007 vom 9. Januar 2008 E. 3; 4C.44/1996 vom 31. Oktober 1996 E. 2; vgl. auch Urteil 4A_279/2010 vom 25. Oktober 2010 E. 2). Gerechtfertigt ist die in diesem Stadium beschränkte Kognition des staatlichen Gerichts dadurch, dass später im Rahmen der Anfechtung des Schiedsspruchs die staatliche Rechtsmittelinstanz mit voller Kognition überprüfen kann, ob sich das Schiedsgericht zu Recht für zuständig oder unzuständig erklärt hat ( Art. 190 Abs. 2 lit. b IPRG ). Daher ist es richtig, wenn das staatliche Gericht bei der Beurteilung einer Schiedseinrede aufgrund einer beschränkten Prüfung der Wirksamkeit und Erfüllbarkeit der Schiedsvereinbarung im Zweifel zu Gunsten des Schiedsgerichts entscheidet. Zu erwähnen bleibt, dass auf den 1. Januar 2011 für den Bereich der Binnenschiedsgerichtsbarkeit Art. 61 der Schweizerischen Zivilprozessordnung (ZPO; SR 272) in Kraft getreten ist, gemäss dem das angerufene staatliche Gericht, wenn die Parteien über eine schiedsfähige Streitsache eine Schiedsvereinbarung getroffen haben, sich für unzuständig zu erklären hat, es sei denn, die Schiedsvereinbarung sei "offensichtlich ungültig oder nicht erfüllbar" (lit. b). Damit wurde nach verbreiteter Ansicht die für Art. 7 lit. b IPRG geltende Rechtsprechung für den Bereich der Binnenschiedsgerichtsbarkeit kodifiziert (s. DOMEJ, in: Schweizerische Zivilprozessordnung [ZPO], 2010, N. 3 zu Art. 61 ZPO ; MÜLLER-CHEN, in: Kommentar zur Schweizerischen Zivilprozessordnung, 2010, N. 13 zu Art. 61 ZPO ; STACHER, in: Schweizerische Zivilprozessordnung [ZPO], Kommentar, 2011, N. 11 zu Art. 61 ZPO ; anders SCHWEIZER, in: CPC, Code de procédure civile commenté, 2011, N. 11 und 17 zu Art. 61 ZPO ). Jedenfalls ist dem staatlichen Richter im Bereich der Binnenschiedsgerichtsbarkeit nun durch explizite BGE 138 III 681 S. 686 Gesetzesbestimmung Zurückhaltung bei der Prüfung der Schiedsvereinbarung auferlegt (vgl. auch die am 20. März 2008 eingereichte parlamentarische Initiative von Nationalrat Lüscher, welche die lediglich summarische Prüfungsbefugnis des staatlichen Gerichts für den Bereich der internationalen Schiedsgerichtsbarkeit, unabhängig vom Sitz des Schiedsgerichts, im Text von Art. 7 IPRG verankern möchte). An der dargelegten Rechtsprechung zu Art. 7 lit. b IPRG ist vor diesem Hintergrund festzuhalten. Das staatliche Gericht, das eine Schiedsvereinbarung zugunsten eines Schiedsgerichts mit Sitz in der Schweiz zu beurteilen hat, darf und muss folglich auch weiterhin bloss summarisch prüfen, ob diese seine eigene Zuständigkeit für die eingeklagten Ansprüche ausschliesst. Dies bedeutet, dass sich das Gericht nur für zuständig erklären darf, wenn zwischen den Parteien offensichtlich keine wirksame Schiedsvereinbarung vorliegt. Die beklagte Partei obsiegt mithin bereits dann, wenn die Zuständigkeit des staatlichen Gerichts auf den ersten Blick als durch die Schiedsvereinbarung derogiert erscheint.</w:t>
      </w:r>
    </w:p>
    <w:p>
      <w:r>
        <w:rPr>
          <w:b/>
        </w:rPr>
        <w:t>E. 3.3</w:t>
      </w:r>
    </w:p>
    <w:p>
      <w:r>
        <w:t>Die beschränkte Kognition des staatlichen Richters betrifft nicht nur die Konstellation, in der das Zustandekommen oder die Gültigkeit der Schiedsvereinbarung umstritten ist, sondern auch den Fall, dass Uneinigkeit darüber besteht, ob sich die Schiedsvereinbarung auf die vor dem staatlichen Gericht geltend gemachten Ansprüche erstreckt. Denn auch die Frage der inhaltlichen Tragweite der Schiedsvereinbarung kann später im Rahmen der Anfechtung des Schiedsspruchs gemäss Art. 190 Abs. 2 lit. b IPRG überprüft werden ( BGE 116 II 639 E. 3 S. 642; Urteil 4A_210/2008 vom 29. Oktober 2008 E. 3.1), weshalb dem staatlichen Gericht auch insofern bei der Beurteilung einer Schiedseinrede nur eine summarische Prüfungsbefugnis zusteht (Urteil 4A_436/2007 vom 9. Januar 2008 E. 3). Die Vorinstanz hat die Frage, ob die streitgegenständlichen Ansprüche respektive Anspruchsgrundlagen von der vorliegenden Schiedsvereinbarung erfasst sind, soweit erkennbar frei geprüft. Nachfolgend ist zu untersuchen, ob die gebotene summarische Prüfung zu einem abweichenden Ergebnis geführt hätte und ob die Vorinstanz somit im Ergebnis Bundesrecht verletzt hat.</w:t>
      </w:r>
    </w:p>
    <w:p>
      <w:r>
        <w:rPr>
          <w:b/>
        </w:rPr>
        <w:t>E. 4</w:t>
      </w:r>
    </w:p>
    <w:p>
      <w:r>
        <w:t>(...)</w:t>
      </w:r>
    </w:p>
    <w:p>
      <w:r>
        <w:rPr>
          <w:b/>
        </w:rPr>
        <w:t>E. 4.4</w:t>
      </w:r>
    </w:p>
    <w:p>
      <w:r>
        <w:t>Aufgrund der gebotenen summarischen Prüfung (E. 3) vermag die Auffassung der Vorinstanz, die Schiedsvereinbarung erstrecke sich nicht auf die von der Beschwerdegegnerin geltend gemachten BGE 138 III 681 S. 687 alternativen Anspruchsgrundlagen ("anderes Auftragsverhältnis" respektive "Geschäftsführung ohne Auftrag"), nicht zu überzeugen: Ist wie hier unbestritten, dass eine Schiedsvereinbarung vorliegt, so besteht kein Anlass zu einer besonders restriktiven Auslegung. Vielmehr ist dem Anliegen der Parteien Rechnung zu tragen, die Streitsache durch ein Schiedsgericht entscheiden zu lassen ( BGE 129 III 675 E. 2.3 S. 681). In diesem Sinne ist, wenn die Parteien schon eine Schiedsabrede getroffen haben, davon auszugehen, dass sie eine umfassende Zuständigkeit des Schiedsgerichts wünschen ( BGE 116 Ia 56 E. 3b mit Hinweisen). Wenn eine Schiedsvereinbarung so formuliert ist, dass sie auch die sich "im Zusammenhang mit dem" Vertrag ergebenden Streitigkeiten erfassen soll, muss dies nach Treu und Glauben so verstanden werden, dass die Parteien nicht wünschten, über die aus ihrer vertraglich geregelten Beziehung resultierenden Ansprüche unter verschiedenen Rechtstiteln einerseits vor dem Schiedsgericht und andererseits vor staatlichen Gerichten zu prozessieren. Vielmehr ist im Sinne des mutmasslichen Parteiwillens davon auszugehen, dass die Parteien alle Ansprüche, die sich aus dem vom Vertrag geregelten Sachverhalt ergeben oder diesen unmittelbar berühren, der ausschliesslichen Zuständigkeit des Schiedsgerichts zuweisen wollten (vgl. Urteil 4A_220/2007 vom 21. September 2007 E. 6.2; WENGER/SCHOTT, a.a.O., N. 35 zu Art. 178 IPRG ). Inhaltlich macht die Beschwerdegegnerin vor der Vorinstanz Ansprüche aus einer Geschäftsbeziehung geltend, deren Zweck darin bestand, dass die Beauftragten eine Stiftung nach panamaischem Recht errichten, deren von der Auftraggeberin (Beschwerdegegnerin) eingebrachten Vermögenswerte durch die Vermögensverwalterin (Beschwerdeführerin) verwaltet werden. Die Beschwerdegegnerin betraute die Beschwerdeführerin "als Vermögensverwalterin mit allgemeiner Vollmacht". Die Ansprüche der Beschwerdegegnerin, die damit begründet werden, dass die Beschwerdeführerin instruktionslos die Auflösung der Stiftung veranlasst habe, weshalb die Stiftung den durch die unsorgfältige Vermögensverwaltung der Beschwerdeführerin entstandenen Schaden sowie die Ansprüche auf Herausgabe und Rechenschaftsablage nicht mehr geltend machen könne, betreffen ohne Weiteres dieses vertraglich begründete Dreiparteienverhältnis und stehen somit im Zusammenhang mit dem Mandats- und Treuhandvertrag, unabhängig davon, ob sie nun auf diesen selbst oder auf eine BGE 138 III 681 S. 688 andere vertragliche oder ausservertragliche Grundlage gestützt werden. Für eine gemeinsame Behandlung der von der Beschwerdegegnerin geltend gemachten Ansprüche betreffend die Verwaltung des Stiftungsvermögens sprechen auch praktische Gründe, da voraussichtlich unter den verschiedenen Titeln jeweils zu prüfen sein wird, ob die Beschwerdeführerin in Verletzung ihrer Sorgfalts- und Treuepflichten das Stiftungsvermögen geschädigt hat. Da die Beschwerdegegnerin auch nicht geltend macht, mit Bezug auf das behauptete "andere Auftragsverhältnis" sei explizit eine abweichende Zuständigkeit vereinbart worden, fallen diese Ansprüche somit zumindest auf den ersten Blick ohne Weiteres in den weiten Anwendungsbereich der Schiedsvereinbarung. Nach summarischer Prüfung der Schiedsvereinbarung ist folglich davon auszugehen, dass die Parteien mutmasslich auch die von der Beschwerdegegnerin auf ein anderes Auftragsverhältnis oder Geschäftsführung ohne Auftrag gestützten Ansprüche gegen die Beschwerdeführerin, die sich auf das Vermögen der Stiftung beziehen, der ausschliesslichen Zuständigkeit des Schiedsgerichts zuweisen wollten. Indem die Vorinstanz befand, die Beurteilung der das Vermögen der Stiftung betreffenden Ansprüche falle nicht unter die Schiedsvereinbarung, insoweit diese nicht aus dem Mandats- und Treuhandvertrag abgeleitet würden, und in diesem Umfang die Unzuständigkeitseinrede der Beschwerdeführerin abwies, hat sie Art. 7 lit. b IPRG verletzt. Die Beschwerde ist somit gutzuheissen, und Dispositiv-Ziffer 2 des angefochtenen Entscheids ist aufzuheben und insoweit neu zu fassen, als auf die Klage in Bezug auf die Ansprüche der Beschwerdegegnerin, welche die Verwaltung des Vermögens der Stiftung betreffen,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