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672</w:t>
      </w:r>
    </w:p>
    <w:p>
      <w:r>
        <w:t>Bundesgericht (BGE), 2012-08-08, FR</w:t>
      </w:r>
    </w:p>
    <w:p>
      <w:r>
        <w:rPr>
          <w:b/>
        </w:rPr>
        <w:t xml:space="preserve">Quelle: </w:t>
      </w:r>
      <w:r>
        <w:t>https://mcp.opencaselaw.ch/entscheid/bge_BGE_138_III_672</w:t>
      </w:r>
    </w:p>
    <w:p>
      <w:r>
        <w:t>FR: ATF 138 III 672</w:t>
      </w:r>
    </w:p>
    <w:p>
      <w:r>
        <w:t>IT: DTF 138 III 672</w:t>
      </w:r>
    </w:p>
    <w:p>
      <w:pPr>
        <w:pStyle w:val="Heading2"/>
      </w:pPr>
      <w:r>
        <w:t>Regeste</w:t>
      </w:r>
    </w:p>
    <w:p>
      <w:r>
        <w:t>Regeste Art. 101 Abs. 1 und 3 ZPO; Frist zur Leistung des Kostenvorschusses; Gesuch um provisio ad litem. Wie dies für die unentgeltliche Rechtspflege entschieden worden ist (BGE 138 III 163), schiebt das Gesuch um provisio ad litem die Frist zur Leistung des Gerichtskostenvorschusses auf und muss das Gericht im Falle der Abweisung des Gesuchs eine Nachfrist für die Zahlung des Vorschusses einräumen (E. 4.2).</w:t>
      </w:r>
    </w:p>
    <w:p>
      <w:r>
        <w:t>Regeste Art. 101 al. 1 et 3 CPC; délai imparti pour payer l'avance de frais; requête de provisio ad litem. Comme il a été jugé en matière d'assistance judiciaire (ATF 138 III 163), la requête de provisio ad litem suspend le délai imparti pour payer l'avance de frais judiciaires et, en cas de rejet de cette requête, le tribunal doit accorder un délai supplémentaire pour effectuer cette avance (consid. 4.2).</w:t>
      </w:r>
    </w:p>
    <w:p>
      <w:r>
        <w:t>Regesto Art. 101 cpv. 1 e 3 CPC; termine impartito per il pagamento dell'anticipo spese; domanda di provisio ad litem. Alla stregua di quanto deciso in materia di assistenza giudiziaria (DTF 138 III 163), la domanda di provisio ad litem sospende il termine impartito per il pagamento dell'anticipo delle spese processuali e, in caso di reiezione di tale domanda, il tribunale deve concedere un termine suppletorio per effettuare il pagamento (consid. 4.2).</w:t>
      </w:r>
    </w:p>
    <w:p>
      <w:pPr>
        <w:pStyle w:val="Heading2"/>
      </w:pPr>
      <w:r>
        <w:t>Erwägungen</w:t>
      </w:r>
    </w:p>
    <w:p>
      <w:r>
        <w:rPr>
          <w:b/>
        </w:rPr>
        <w:t>E. 4</w:t>
      </w:r>
    </w:p>
    <w:p>
      <w:r>
        <w:t>S'agissant de la recevabilité du recours cantonal déposé par l'épouse le 1 er septembre 2010, le recourant prétend que la cour cantonale a appliqué de manière arbitraire l' art. 109 al. 2 CPC /FR en entrant en matière alors que l'épouse n'a pas presté l'avance de frais ordonnée par le Président du Tribunal d'arrondissement le 3 septembre 2010, dans un délai péremptoire échéant le 4 octobre 2010. (...) 4.2.1 Selon la jurisprudence rendue en application des art. 101 al. 3 CPC (RS 272) et 62 al. 3 LTF, la requête d'assistance judiciaire BGE 138 III 672 S. 674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 ATF 138 III 163 consid. 4.2 et les références). Il s'agit là de principes généraux, qui doivent également s'appliquer lorsqu'une partie requiert une provisio ad litem . En effet, la partie qui ne dispose pas des moyens suffisants pour assumer les frais d'un procès, mais dont le conjoint est en mesure de prendre en charge ces frais, ne peut pas requérir de l'Etat l'octroi de l'assistance judiciaire. De jurisprudence constante, le devoir de l'Etat d'accorder l'assistance judiciaire à un plaideur impécunieux dans une cause non dénuée de chances de succès est subsidiaire par rapport aux obligations d'assistance découlant du droit de la famille ( ATF 119 Ia 11 consid. 3a; ATF 108 Ia 9 consid. 3; arrêt 5C.42/2002 du 29 septembre 2002 consid. 6, non publié in ATF 129 III 55 ). La partie qui doit requérir une provisio ad litem de la part de son conjoint pour financer les frais du procès se trouve toutefois dans une situation identique à celle de la partie qui doit demander l'assistance judiciaire; sans cette aide financière, elle est privée de son droit à l'accès à la justice, garanti par la Constitution. 4.2.2 Il s'ensuit, en l'espèce, que la requête de provisio ad litem déposée par l'épouse le 14 septembre 2010, réitérée le 1 er octobre 2010, a suspendu le délai échéant le 3 octobre 2010 pour faire l'avance de frais. L'autorité cantonale n'ayant pas statué séparément sur cette requête, mais ayant rejeté celle-ci dans son arrêt final sur le fond et les autres requêtes déposées de part et d'autre, le 28 mars 2012, elle n'aurait pu ni exiger d'avance de frais de l'épouse, ni lui fixer de délai à cette fin; elle ne l'a d'ailleurs pas fait. Le recours cantonal déposé par l'épouse le 1 er septembre 2010 était donc recevable. Partant, le grief du recourant doit être rejeté par substitution des motifs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