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636</w:t>
      </w:r>
    </w:p>
    <w:p>
      <w:r>
        <w:t>Bundesgericht (BGE), 2012-08-17, FR</w:t>
      </w:r>
    </w:p>
    <w:p>
      <w:r>
        <w:rPr>
          <w:b/>
        </w:rPr>
        <w:t xml:space="preserve">Quelle: </w:t>
      </w:r>
      <w:r>
        <w:t>https://mcp.opencaselaw.ch/entscheid/bge_BGE_138_III_636</w:t>
      </w:r>
    </w:p>
    <w:p>
      <w:r>
        <w:t>FR: ATF 138 III 636</w:t>
      </w:r>
    </w:p>
    <w:p>
      <w:r>
        <w:t>IT: DTF 138 III 636</w:t>
      </w:r>
    </w:p>
    <w:p>
      <w:pPr>
        <w:pStyle w:val="Heading2"/>
      </w:pPr>
      <w:r>
        <w:t>Regeste</w:t>
      </w:r>
    </w:p>
    <w:p>
      <w:r>
        <w:t>Regeste Art. 278 SchKG, Art. 254 ZPO; Verfahren der Einsprache gegen den Arrestbefehl; Beweis. Zulässiges Beweismittel (E. 4).</w:t>
      </w:r>
    </w:p>
    <w:p>
      <w:r>
        <w:t>Regeste Art. 278 LP, art. 254 CPC; procédure d'opposition au séquestre; preuve. Moyen de preuve admissible (consid. 4).</w:t>
      </w:r>
    </w:p>
    <w:p>
      <w:r>
        <w:t>Regesto Art. 278 LEF, art. 254 CPC; procedura di opposizione al sequestro; prova. Mezzo di prova ammissibile (consid. 4).</w:t>
      </w:r>
    </w:p>
    <w:p>
      <w:pPr>
        <w:pStyle w:val="Heading2"/>
      </w:pPr>
      <w:r>
        <w:t>Erwägungen</w:t>
      </w:r>
    </w:p>
    <w:p>
      <w:r>
        <w:rPr>
          <w:b/>
        </w:rPr>
        <w:t>E. 4</w:t>
      </w:r>
    </w:p>
    <w:p>
      <w:r>
        <w:t>(...)</w:t>
      </w:r>
    </w:p>
    <w:p>
      <w:r>
        <w:rPr>
          <w:b/>
        </w:rPr>
        <w:t>E. 4.3</w:t>
      </w:r>
    </w:p>
    <w:p>
      <w:r>
        <w:t>Saisi d'un recours pour violation des droits constitutionnels, le Tribunal fédéral peut procéder à une substitution de motifs pour autant que la nouvelle motivation, conforme à la Constitution, n'ait pas expressément été écartée par l'autorité cantonale ( ATF 128 III 4 consid. 4c/aa; arrêt 5A_652/2009 du 18 janvier 2010 consid. 1.4). Dès lors que l'opposition au séquestre est soumise à la procédure sommaire en vertu de l' art. 251 let. a CPC (RS 272), il convient d'examiner quels sont les moyens de preuve que les parties peuvent faire administrer dans cette procédure.</w:t>
      </w:r>
    </w:p>
    <w:p>
      <w:r>
        <w:rPr>
          <w:b/>
        </w:rPr>
        <w:t>E. 4.3.1</w:t>
      </w:r>
    </w:p>
    <w:p>
      <w:r>
        <w:t>Aux termes de l' art. 254 CPC , la preuve est rapportée par titres (al. 1). D'autres moyens de preuve sont admissibles dans les cas suivants (al. 2): leur administration ne retarde pas sensiblement la procédure (let. a), le but de la procédure l'exige (let. b), le tribunal établit les faits d'office (let. c). Le moyen de preuve prévu par l' art. 254 al. 1 CPC est la production d'un titre, par quoi il faut entendre, selon l' art. 177 CPC , tout document propre à prouver des faits pertinents. En procédure sommaire, on exige en principe cette production de la part des parties, car celle-ci a, par nature, un caractère immédiatement disponible. En ce qui concerne les moyens de preuve autres que la production de titres, il y a lieu d'examiner si, en vertu de l' art. 254 al. 2 CPC , ceux-ci peuvent être exceptionnellement admis dans la procédure d'opposition au séquestre. En effet, l' art. 254 CPC est une disposition générale sur les moyens de preuve, qui s'applique à des procédures sommaires de types différents - les cas prévus par la loi, les cas clairs, la mise à ban, les mesures provisionnelles et la juridiction gracieuse ( art. 248 CPC ). La nature de chacune de celles-ci doit être prise en considération lorsqu'il s'agit de déterminer quels autres moyens de preuve sont admissibles.</w:t>
      </w:r>
    </w:p>
    <w:p>
      <w:r>
        <w:rPr>
          <w:b/>
        </w:rPr>
        <w:t>E. 4.3.2</w:t>
      </w:r>
    </w:p>
    <w:p>
      <w:r>
        <w:t>Selon la jurisprudence, dans les causes soumises à la procédure sommaire au sens propre, à savoir lorsque les faits doivent être rendus simplement vraisemblables, que le juge examine sommairement le bien-fondé juridique de la prétention et qu'il rend une décision provisoire, ne réglant donc pas définitivement la situation juridique des parties et ne revêtant l'autorité de la chose jugée, les moyens de preuve peuvent être limités à ceux qui sont immédiatement disponibles BGE 138 III 636 S. 639 ( ATF 127 III 474 consid. 2b/bb; ATF 117 II 554 consid. 2d). Cette limitation est admissible puisque les moyens de preuve qui ne le sont pas pourront tous être administrés ultérieurement dans le procès ordinaire, qui tranchera définitivement la cause après un examen complet en fait et en droit (FABIENNE HOHL, Procédure civile, tome II, 2 e éd. 2010, n os 1566 et 1568). La procédure d'opposition au séquestre ( art. 278 LP ) est une procédure sommaire au sens propre; elle présente les trois caractéristiques précitées (simple vraisemblance des faits, examen sommaire du droit et décision provisoire; ATF 138 III 232 consid. 4.1.1; arrêts 5A_317/2009 du 20 août 2009 consid. 3.2; 5A_364/2008 du 12 août 2008 consid. 5.2). Elle a en outre un objet et un but particulier: le séquestre, auquel le débiteur s'oppose, est une mesure conservatoire, soit la mise sous main de justice de biens du débiteur, qui permet de garantir une créance pendant la durée de la procédure de validation du séquestre ( art. 279 LP ; ATF 116 III 111 consid. 3a; ATF 107 III 33 consid. 2). En tant que procédure spécifique de la LP, la procédure d'opposition au séquestre est aussi une procédure sur pièces ( Aktenprozess; procedura in base agli atti; art. 256 al. 1 CPC ; dans ce sens, cf. arrêt 5A_836/2010 du 2 février 2011 consid. 4.1.1; en matière de mainlevée provisoire de l'opposition, cf. arrêts 5D_147/2011 du 10 novembre 2011 consid. 3; 5A_83/2011 du 2 septembre 2011 consid. 6.1). C'est au cours de l'action civile en reconnaissance de dette (en validation du séquestre) qui suivra, soumise à une procédure avec un examen complet en fait et en droit, que les parties pourront faire valoir tous leurs moyens de preuve. En conséquence, seule la production de titres, au sens de l' art. 254 al. 1 CPC , doit être admise dans la procédure d'opposition au séquestre.</w:t>
      </w:r>
    </w:p>
    <w:p>
      <w:r>
        <w:rPr>
          <w:b/>
        </w:rPr>
        <w:t>E. 4.4</w:t>
      </w:r>
    </w:p>
    <w:p>
      <w:r>
        <w:t>En l'espèce, les séquestrées étaient dans l'incapacité de produire immédiatement un titre, au sens de l' art. 254 al. 1 CPC ; elles se sont contentées, lors de l'audience du 4 juillet 2011, de formuler une requête tendant à pouvoir produire une expertise privée à réaliser dans les cinq jours. Le grief des recourantes, qui reprochent à la cour cantonale d'avoir refusé d'administrer ce moyen de preuve, doit donc être rejeté, par substitution des motifs qui précèdent. Dans la mesure où la requête tendant à l'administration d'une expertise encore à réaliser n'est pas admissible en vertu de l' art. 254 al. 1 CPC , il ne saurait y avoir violation du principe de l'égalité de BGE 138 III 636 S. 640 traitement garantie par l' art. 8 Cst. Par ailleurs, faute de grief, le Tribunal fédéral n'a pas à examiner si les recourantes ont été privées de la possibilité de produire en temps utile une expertise privée en raison du fait que les documents litigieux n'ont été présentés en originaux que 30 minutes avant le début de l'audience (cf. consid. 2 non publié; art. 106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