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583</w:t>
      </w:r>
    </w:p>
    <w:p>
      <w:r>
        <w:t>Bundesgericht (BGE), 2012-07-09, FR</w:t>
      </w:r>
    </w:p>
    <w:p>
      <w:r>
        <w:rPr>
          <w:b/>
        </w:rPr>
        <w:t xml:space="preserve">Quelle: </w:t>
      </w:r>
      <w:r>
        <w:t>https://mcp.opencaselaw.ch/entscheid/bge_BGE_138_III_583</w:t>
      </w:r>
    </w:p>
    <w:p>
      <w:r>
        <w:t>FR: ATF 138 III 583</w:t>
      </w:r>
    </w:p>
    <w:p>
      <w:r>
        <w:t>IT: DTF 138 III 583</w:t>
      </w:r>
    </w:p>
    <w:p>
      <w:pPr>
        <w:pStyle w:val="Heading2"/>
      </w:pPr>
      <w:r>
        <w:t>Regeste</w:t>
      </w:r>
    </w:p>
    <w:p>
      <w:r>
        <w:t>Regeste Art. 80 f. SchKG; als definitiver Rechtsöffnungstitel für rückständige Unterhaltsbeiträge geltendes Urteil. Pflicht des Sachrichters, über bereits bezahlte Beträge zu befinden, die von den rückständigen Unterhaltsbeiträgen abzuziehen sind (E. 6).</w:t>
      </w:r>
    </w:p>
    <w:p>
      <w:r>
        <w:t>Regeste Art. 80 s. LP; jugement valant titre de mainlevée définitive pour l'arriéré des contributions d'entretien. Devoir du juge du fond de statuer sur les montants déjà versés qui doivent être déduits de l'arriéré des contributions d'entretien (consid. 6).</w:t>
      </w:r>
    </w:p>
    <w:p>
      <w:r>
        <w:t>Regesto Art. 80 seg. LEF; decisione che vale quale titolo di rigetto definitivo dell'opposizione per contributi di mantenimento arretrati. Dovere del giudice di merito di statuire sugli importi già versati che vanno dedotti dai contributi di mantenimento arretrati (consid. 6).</w:t>
      </w:r>
    </w:p>
    <w:p>
      <w:pPr>
        <w:pStyle w:val="Heading2"/>
      </w:pPr>
      <w:r>
        <w:t>Erwägungen</w:t>
      </w:r>
    </w:p>
    <w:p>
      <w:r>
        <w:rPr>
          <w:b/>
        </w:rPr>
        <w:t>E. 6</w:t>
      </w:r>
    </w:p>
    <w:p>
      <w:r>
        <w:t>La recourante reproche à l'autorité cantonale d'avoir violé l' art. 80 LP en jugeant que l'arrêt de mesures protectrices de l'union conjugale du 26 novembre 2009 ne constitue pas un titre de mainlevée de l'opposition au commandement de payer pour l'arriéré des contributions d'entretien dues du 24 octobre 2007 au 31 octobre 2009, cette dette n'étant pas chiffrée. La question qui se pose est donc celle de savoir quand un jugement vaut titre de mainlevée pour l'arriéré des contributions d'entretien.</w:t>
      </w:r>
    </w:p>
    <w:p>
      <w:r>
        <w:rPr>
          <w:b/>
        </w:rPr>
        <w:t>E. 6.1.1</w:t>
      </w:r>
    </w:p>
    <w:p>
      <w:r>
        <w:t>La mainlevée définitive de l'opposition n'est accordée que si le jugement condamne le poursuivi à payer une somme d'argent BGE 138 III 583 S. 585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Si ce jugement est peu clair ou incomplet, il appartient au juge du fond de l'interpréter ( ATF 135 III 315 consid. 2.3; ATF 134 III 656 consid. 5.3.2; arrêt 5A_487/2011 du 2 septembre 2011 consid. 3.1 et les références). Néanmoins, ce pouvoir d'examen limité du juge de la mainlevée ne signifie pas que ce magistrat ne pourrait tenir compte que du dispositif du jugement invoqué. Il peut aussi prendre en considération les motifs du jugement pour décider si ce dernier constitue un titre de mainlevée au sens de l' art. 80 al. 1 LP ( ATF 134 III 656 consid. 5.3.2); ce n'est que si le sens du dispositif est douteux et que ce doute ne peut être levé à l'examen des motifs que la mainlevée doit être refusée. Le juge peut aussi prendre en considération à cette fin d'autres documents, dans la mesure où le jugement y renvoie ( ATF 135 III 315 consid. 2.3; arrêt 5A_487/2011 du 2 septembre 2011 consid. 3.1). Selon la jurisprudence,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 ATF 135 III 315 consid. 2). Il en découle que,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sinon le jugement rendu ne sera pas susceptible d'exécution forcée (arrêt 5A_860/2011 du 11 juin 2012 consid. 6.3).</w:t>
      </w:r>
    </w:p>
    <w:p>
      <w:r>
        <w:rPr>
          <w:b/>
        </w:rPr>
        <w:t>E. 6.1.2</w:t>
      </w:r>
    </w:p>
    <w:p>
      <w:r>
        <w:t>Lorsque le dispositif du jugement condamne sans réserve le débiteur au paiement de contributions d'entretien d'un montant déterminé, pour une période rétroactive, et qu'il ressort des motifs que c'est faute de preuve que le juge du fond n'a pas arrêté le montant déjà versé depuis la séparation, ce jugement vaut alors titre de BGE 138 III 583 S. 586 mainlevée définitive pour le montant total de l'arriéré de pensions, cette dette étant claire et chiffrée. Dans la procédure de mainlevée, le débirentier ne peut pas faire valoir, à titre d'exception de l' art. 81 al. 1 LP , que la créance en paiement de l'arriéré de pensions était déjà éteinte lorsque le jugement au fond a été rendu. En effet, selon le texte clair de cette norme, le débiteur ne peut faire valoir que l'extinction de la dette survenue postérieurement au jugement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 ATF 135 III 315 consid. 2.5).</w:t>
      </w:r>
    </w:p>
    <w:p>
      <w:r>
        <w:rPr>
          <w:b/>
        </w:rPr>
        <w:t>E. 6.2</w:t>
      </w:r>
    </w:p>
    <w:p>
      <w:r>
        <w:t>En l'espèce, l'autorité cantonale n'a pas violé les principes précités en se référant aux motifs de l'arrêt du 26 novembre 2009 prononçant des mesures protectrices de l'union conjugale pour déterminer si celui-ci réservait les montants déjà versés à titre de contributions d'entretien. En revanche, elle les a violés en refusant de prononcer la mainlevée de l'opposition au commandement de payer l'arriéré des pensions. En effet, dans sa décision du 26 novembre 2009, la Cour de justice a certes admis qu'en principe les montants que le débiteur a déjà versés doivent être déduits de la dette. Néanmoins, elle a retenu en l'espèce qu'aucun des paiements effectués par l'intimé après la séparation des parties n'avait été prouvé et elle n'a donc pas réservé de prestations déjà versées dans le dispositif de son jugement. Celui-ci vaut donc titre de mainlevée pour le montant total de l'arriéré de pensions dues entre le 24 octobre 2007 et le 31 octobre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