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555</w:t>
      </w:r>
    </w:p>
    <w:p>
      <w:r>
        <w:t>Bundesgericht (BGE), 2012-08-03, FR</w:t>
      </w:r>
    </w:p>
    <w:p>
      <w:r>
        <w:rPr>
          <w:b/>
        </w:rPr>
        <w:t xml:space="preserve">Quelle: </w:t>
      </w:r>
      <w:r>
        <w:t>https://mcp.opencaselaw.ch/entscheid/bge_BGE_138_III_555</w:t>
      </w:r>
    </w:p>
    <w:p>
      <w:r>
        <w:t>FR: ATF 138 III 555</w:t>
      </w:r>
    </w:p>
    <w:p>
      <w:r>
        <w:t>IT: DTF 138 III 555</w:t>
      </w:r>
    </w:p>
    <w:p>
      <w:pPr>
        <w:pStyle w:val="Heading2"/>
      </w:pPr>
      <w:r>
        <w:t>Regeste</w:t>
      </w:r>
    </w:p>
    <w:p>
      <w:r>
        <w:t>Regeste a Gesuch um vorsorgliche Beweisführung (Art. 158 ZPO); Zwischenentscheid über die Zuständigkeit zur Anordnung einer solchen Massnahme. Der Beschwerdeweg folgt bei einer solchen Entscheidung demjenigen der Hauptsache. Es können einzig die in Art. 98 BGG vorgesehenen Rügen, d.h. die Verletzung verfassungsmässiger Rechte, erhoben werden (E. 1).</w:t>
      </w:r>
    </w:p>
    <w:p>
      <w:r>
        <w:t>Regeste b Gerichtsstand für die Anordnung vorsorglicher Massnahmen (Art. 13 ZPO). Diese Bestimmung sieht nach ihrem klaren Wortlaut zwei alternative Gerichtsstände vor: den einen am Gerichtsstand der Hauptsache und den anderen am Ort der Vollstreckung der beantragten Massnahme. Es ist nicht willkürlich, daraus zu schliessen, dass der Gerichtsstand des Vollstreckungsorts nicht auf Fälle der Dringlichkeit beschränkt ist. Aus den Materialien geht hervor, dass der Gesetzgeber auf die Einführung einer solchen Einschränkung bei Art. 33 GestG, dem Art. 13 ZPO entspricht, verzichtet hatte (E. 2).</w:t>
      </w:r>
    </w:p>
    <w:p>
      <w:r>
        <w:t>Regeste a Requête de preuve à futur (art. 158 CPC); décision incidente portant sur la compétence d'ordonner cette mesure. La voie de recours contre une telle décision est la même que pour la cause au fond. Seuls les griefs prévus à l'art. 98 LTF, soit la violation des droits constitutionnels, peuvent être invoqués (consid. 1).</w:t>
      </w:r>
    </w:p>
    <w:p>
      <w:r>
        <w:t>Regeste b For des mesures provisionnelles (art. 13 CPC). Cette disposition, selon sa lettre claire, institue deux fors alternatifs: l'un au for de l'action principale, l'autre au lieu d'exécution de la mesure requise. Il n'est pas arbitraire d'en conclure que le for du lieu d'exécution n'est pas réservé au seul cas d'urgence. Les travaux préparatoires révèlent que le législateur avait renoncé à introduire une telle limitation à l'art. 33 LFors, auquel correspond l'art. 13 CPC (consid. 2).</w:t>
      </w:r>
    </w:p>
    <w:p>
      <w:r>
        <w:t>Regesto a Domanda di assunzione di prove a titolo cautelare (art. 158 CPC); decisione incidentale sulla competenza per ordinare questo provvedimento. La via di ricorso contro una tale decisione segue quella della causa di merito. Possono essere invocate solo le censure previste all'art. 98 LTF, e cioè la violazione di diritti costituzionali (consid. 1).</w:t>
      </w:r>
    </w:p>
    <w:p>
      <w:r>
        <w:t>Regesto b Foro dei provvedimenti cautelari (art. 13 CPC). Questa disposizione, secondo il suo chiaro tenore, istituisce due fori alternativi: uno al foro della causa principale, l'altro al luogo di esecuzione del provvedimento richiesto. Non è arbitrario dedurne che il foro del luogo di esecuzione non è riservato ai soli casi urgenti. I lavori preparatori rivelano che il legislatore aveva rinunciato a introdurre una tale limitazione nell'art. 33 LForo, norma che corrisponde all'art. 13 CPC (consid. 2).</w:t>
      </w:r>
    </w:p>
    <w:p>
      <w:pPr>
        <w:pStyle w:val="Heading2"/>
      </w:pPr>
      <w:r>
        <w:t>Erwägungen</w:t>
      </w:r>
    </w:p>
    <w:p>
      <w:r>
        <w:rPr>
          <w:b/>
        </w:rPr>
        <w:t>E. 1</w:t>
      </w:r>
    </w:p>
    <w:p>
      <w:r>
        <w:t>L'arrêt attaqué est une décision incidente sur la compétence, susceptible d'un recours immédiat ( art. 92 LTF ). La voie de recours est la même que pour la cause au fond ( ATF 133 III 645 consid. 2.2 p. 648); il n'y a pas de motif de mettre en doute la valeur litigieuse estimée par l'autorité précédente (cf. art. 112 al. 1 let . d LTF; ATF 136 III 60 consid. 1.1.1 p. 62 i.f.), si bien que la voie du recours en matière civile est ouverte (cf. art. 74 al. 1 let. b LTF ). Toutefois, les décisions portant sur l'administration de preuves à futur sont des mesures provisionnelles au sens de la LTF ( ATF 138 III 46 consid. 1.1; cf. art. 158 BGE 138 III 555 S. 557 al. 2 CPC ); seule la violation de droits constitutionnels peut être invoquée, y compris lorsque le recours vise une décision sur la compétence de prendre de telles mesures ( art. 98 LTF ; cf. arrêt 4A_146/2010 du 2 juin 2010 consid. 2, in sic! 6/2011 p. 390).</w:t>
      </w:r>
    </w:p>
    <w:p>
      <w:r>
        <w:rPr>
          <w:b/>
        </w:rPr>
        <w:t>E. 2</w:t>
      </w:r>
    </w:p>
    <w:p>
      <w:r>
        <w:t>La recourante se plaint d'une violation de l'interdiction constitutionnelle de l'arbitraire lors de l'application de l' art. 13 CPC . A teneur de cette disposition, est impérativement compétent pour ordonner des mesures provisionnelles le tribunal compétent pour statuer sur l'action principale (let. a) ou le tribunal du lieu où la mesure doit être exécutée (let. b).</w:t>
      </w:r>
    </w:p>
    <w:p>
      <w:r>
        <w:rPr>
          <w:b/>
        </w:rPr>
        <w:t>E. 2.1</w:t>
      </w:r>
    </w:p>
    <w:p>
      <w:r>
        <w:t>De l'avis de la recourante, l'alternative prévue à l' art. 13 let. b CPC ne serait offerte qu'en cas d'urgence. Cette disposition serait reprise de l' art. 33 LFors (ancienne loi fédérale du 24 mars 2000 sur les fors en matière civile; RO 2000 2087), qui aurait déjà imposé une telle limitation. La recourante se fonde en outre sur un arrêt rendu en 1999 dans une cause à caractère international, où la cour de céans avait souligné qu'une prorogation de for ne doit pas être vidée de sa portée et qu'en conséquence, la partie ayant souscrit une telle clause ne peut pas choisir de requérir des mesures provisionnelles au for de l'exécution, sauf quand le tribunal du lieu en question est le seul à pouvoir prendre à temps les mesures nécessaires ( ATF 125 III 451 consid. 3a p. 454).</w:t>
      </w:r>
    </w:p>
    <w:p>
      <w:r>
        <w:rPr>
          <w:b/>
        </w:rPr>
        <w:t>E. 2.2</w:t>
      </w:r>
    </w:p>
    <w:p>
      <w:r>
        <w:t>Le texte de l' art. 13 CPC ne prévoit aucune limitation en ce sens que le for du lieu d'exécution ne serait ouvert qu'en cas d'urgence (cf. art. 13 let. b CPC ). A s'en tenir au texte non équivoque de la loi, ce for est alternatif avec celui de l'action principale. Cela suffit en soi pour exclure tout arbitraire de la part de l'autorité cantonale, qui n'a pas subordonné à des restrictions le choix du for du lieu d'exécution. L' art. 13 CPC correspond certes à l' art. 33 LFors (Message du 28 juin 2006 relatif au code de procédure civile suisse, FF 2006 6879 ch. 5.2.2 ad art. 12). Le projet pour cette dernière disposition (art. 34 du projet) prévoyait qu'avant la litispendance, était compétent pour ordonner des mesures provisionnelles "un tribunal du lieu dans lequel est donnée la compétence pour connaître de la demande principale et en plus, en cas d'urgence, un tribunal du lieu dans lequel la mesure devra être exécutée" (Message du 18 novembre 1998 concernant la loi fédérale sur les fors en matière civile, FF 1999 2647 ad art. 34). Mais le texte du projet a été modifié devant le Conseil des États; la limitation au cas d'urgence pour le for du lieu d'exécution a été supprimée. Lors des débats, la rapporteuse Christiane Brunner a fait la déclaration suivante: "Nous avons donc introduit un for alternatif, et non plus BGE 138 III 555 S. 558 subsidiaire, au tribunal du lieu dans lequel la mesure doit être exécutée" (BO 1999 CE 895). On ne saurait dès lors soutenir que sous le régime de l' art. 33 LFors , le for au lieu d'exécution ne s'appliquait manifestement qu'en cas d'urgence (cf. KELLERHALS/GÜNGERICH, in Gerichtsstandsgesetz, 2001, n° 13 ad art. 33 LFors ; MARCEL DIETRICH, Vorsorgliche Massnahmen nach Gerichtsstandsgesetz, in Das Gerichtsstandsgesetz, 2001, p. 137 s.). Enfin, le for du lieu d'exécution de la mesure est impératif ( art. 13 CPC ), si bien que les parties ne peuvent pas y déroger ( art. 9 al. 2 CPC ); il en allait de même sous le régime de l'ancien droit ( art. 2 et 33 LFors , RO 2000 2080 et 2087). L'arrêt de 1999 cité par la recourante a été rendu avant l'entrée en vigueur de la LFors, et dans une cause à caractère international; il n'est pas pertinent en l'espèce. Il s'ensuit que le grief d'application arbitraire de l' art. 13 CPC est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