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49</w:t>
      </w:r>
    </w:p>
    <w:p>
      <w:r>
        <w:t>Bundesgericht (BGE), 2012-01-25, FR</w:t>
      </w:r>
    </w:p>
    <w:p>
      <w:r>
        <w:rPr>
          <w:b/>
        </w:rPr>
        <w:t xml:space="preserve">Quelle: </w:t>
      </w:r>
      <w:r>
        <w:t>https://mcp.opencaselaw.ch/entscheid/bge_BGE_138_III_49</w:t>
      </w:r>
    </w:p>
    <w:p>
      <w:r>
        <w:t>FR: ATF 138 III 49</w:t>
      </w:r>
    </w:p>
    <w:p>
      <w:r>
        <w:t>IT: DTF 138 III 49</w:t>
      </w:r>
    </w:p>
    <w:p>
      <w:pPr>
        <w:pStyle w:val="Heading2"/>
      </w:pPr>
      <w:r>
        <w:t>Regeste</w:t>
      </w:r>
    </w:p>
    <w:p>
      <w:r>
        <w:t>Regeste Art. 6 Abs. 1, Art. 679 und 684 ZGB; Verhältnis zwischen den Bestimmungen des schweizerischen Privatrechts über den Schutz vor Immissionen und dem kantonalen öffentlichen Baurecht. Eine durch rechtskräftigen Entscheid einer Verwaltungsbehörde bewilligte Baute verursacht in der Regel keine übermässigen Immissionen im Sinn von Art. 684 ZGB; Ausnahmen (E. 4).</w:t>
      </w:r>
    </w:p>
    <w:p>
      <w:r>
        <w:t>Regeste Art. 6 al. 1, art. 679 et 684 CC; rapport entre le droit privé fédéral sur la protection contre les immissions et le droit public cantonal des constructions. En règle générale, une construction autorisée par une décision administrative entrée en force ne cause pas d'immissions excessives au sens de l'art. 684 CC; exceptions (consid. 4).</w:t>
      </w:r>
    </w:p>
    <w:p>
      <w:r>
        <w:t>Regesto Art. 6 cpv. 1, art. 679 e 684 CC; relazione fra il diritto privato federale sulla protezione contro le immissioni e il diritto pubblico cantonale edilizio. Di regola, una costruzione autorizzata da una decisione amministrativa cresciuta in giudicato non causa immissioni eccessive ai sensi dell'art. 684 CC; eccezioni (consid. 4).</w:t>
      </w:r>
    </w:p>
    <w:p>
      <w:pPr>
        <w:pStyle w:val="Heading2"/>
      </w:pPr>
      <w:r>
        <w:t>Erwägungen</w:t>
      </w:r>
    </w:p>
    <w:p>
      <w:r>
        <w:rPr>
          <w:b/>
        </w:rPr>
        <w:t>E. 4</w:t>
      </w:r>
    </w:p>
    <w:p>
      <w:r>
        <w:t>Les recourantes se plaignent tout d'abord de la violation des art. 8, 679, 684, 686 CC ainsi que d'arbitraire dans l'application du droit cantonal et l'appréciation des preuves. Elles reprochent à l'autorité cantonale d'avoir retenu que la surélévation de leur bâtiment entraîne des immissions excessives aux dépens de l'intimée, bien que cette construction ait été autorisée par décision administrative. BGE 138 III 49 S. 53</w:t>
      </w:r>
    </w:p>
    <w:p>
      <w:r>
        <w:rPr>
          <w:b/>
        </w:rPr>
        <w:t>E. 4.1</w:t>
      </w:r>
    </w:p>
    <w:p>
      <w:r>
        <w:t>Pour juger si la construction litigieuse constituait une atteinte excessive pour le voisin, au sens de l' art. 684 CC , la cour cantonale s'est employée à examiner la conformité de celle-ci au droit public cantonal des constructions. Elle a alors constaté qu'en principe, les vues droites devaient se trouver à une distance de 4 m de la limite de propriété (cf. art. 45, 48 al. 2 LCI/GE). Toutefois, il pouvait être dérogé à cette règle, soit par un plan localisé de quartier, soit par une servitude inscrite au registre foncier (cf. art. 45 al. 3, 46 al. 1 LCI/ GE). En l'espèce, les recourantes avaient créé des vues droites dans la façade nord-ouest de leur bâtiment, en limite de propriété. Or, leur fonds n'était au bénéfice d'aucune servitude qui aurait permis cette dérogation à la distance réglementaire; par ailleurs elles n'étaient pas parvenues à démontrer qu'une telle dérogation résultait de l'autorisation de construire ou du PLQ 1995. S'agissant de ce dernier instrument, la cour a précisé que, contrairement à ce que soutenaient les recourantes, on ne pouvait admettre qu'il dérogeait implicitement aux règles sur les distances, sous prétexte qu'il ne contenait pas de pointillés imposant des façades sans jours. En effet, selon elle, l'art. 45 al. 3 LCI/GE se référait expressément aux dispositions des règlements de quartier et des plans localisés de quartier ( art. 4 al. 1 let . d de la loi générale du 29 juin 1957 sur les zones de développement [LGZD/GE; RSG L 1 35], et 16 du règlement d'application du 20 décembre 1978 de la loi générale sur les zones de développement [RGZD2/GE; RSG L 1 35.04]). En conséquence, la cour cantonale a retenu que les fenêtres créées lors de la surélévation du bâtiment n'étaient pas conformes au droit public cantonal des constructions et qu'elles constituaient dès lors également une immission excessive au sens de l' art. 684 CC .</w:t>
      </w:r>
    </w:p>
    <w:p>
      <w:r>
        <w:rPr>
          <w:b/>
        </w:rPr>
        <w:t>E. 4.2</w:t>
      </w:r>
    </w:p>
    <w:p>
      <w:r>
        <w:t>A cette motivation, les recourantes opposent, en substance, qu'une construction autorisée par une décision administrative entrée en force ne peut pas entraîner d'immission au sens de l' art. 684 CC . Par ailleurs, le juge civil étant, sauf nullité absolue, lié par les décisions administratives entrées en force, la cour cantonale n'est pas en droit de revoir la légalité de l'autorisation de construire qui leur a été accordée. Les recourantes prétendent également que l'autorité cantonale a retenu à tort qu'elles n'ont pas démontré que le PLQ 1995 déroge à la LCI/GE sur les distances des vues droites. A cet égard, elles se fondent notamment sur un courrier du DCTI, du 1 er juillet 2008, qui confirme la conformité de leur construction au PLQ 1995 et à toutes les autres règles du droit de la construction, ainsi que sur un BGE 138 III 49 S. 54 autre PLQ, dont les légendes indiquent spécifiquement par le signe "X-----X" les façades qui doivent rester borgnes. En revanche, les recourantes ne contestent pas les désagréments que l'intimée invoque. En particulier, elles admettent que la fenêtre oscillo-battante située à l'extrême gauche du 1 er étage, se trouve sur une portion de mur qui serait mitoyen si les surélévations de leurs bâtiments se faisaient conformément au PLQ 1995.</w:t>
      </w:r>
    </w:p>
    <w:p>
      <w:r>
        <w:rPr>
          <w:b/>
        </w:rPr>
        <w:t>E. 4.3</w:t>
      </w:r>
    </w:p>
    <w:p>
      <w:r>
        <w:t>L'intimée soutient que le juge civil peut toujours vérifier si une construction est conforme au droit civil, même si elle a fait l'objet d'une autorisation administrative. En l'espèce, ses droits de nature civile n'ayant pas été pris en considération dans cette décision, cet acte ne peut lui porter aucun préjudice. En outre, elle relève que les recourantes ne démontrent pas que la cour aurait retenu de manière arbitraire qu'elles n'ont pas prouvé que le PLQ 1995 prévoit une dérogation aux distances les autorisant à ouvrir des baies en limite de propriété, une telle exception ne pouvant se déduire implicitement du plan. Cela vaut d'autant plus qu'un PLQ ne fait que définir les grandes lignes de l'aménagement du quartier, sans pour autant contenir de détails; il ne peut ainsi déroger aux prescriptions ordinaires que de manière expresse. L'intimée relève ensuite que, comme l'a admis la cour cantonale, le bâtiment des recourantes comporte des fenêtres non conformes au droit public cantonal des constructions, quatre d'entre elles la restreignant dans ses possibilités de surélever son bâtiment, ce qui constitue un excès au sens de l' art. 684 CC . L'affirmation des recourantes selon lesquelles "le premier annoncé est le premier servi" est au demeurant totalement en contradiction avec les buts de l'aménagement du territoire.</w:t>
      </w:r>
    </w:p>
    <w:p>
      <w:r>
        <w:rPr>
          <w:b/>
        </w:rPr>
        <w:t>E. 4.4.1</w:t>
      </w:r>
    </w:p>
    <w:p>
      <w:r>
        <w:t>Selon l' art. 684 CC , le propriétaire est tenu, dans l'exercice de son droit,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Sont concernées par cette disposition non seulement les immissions dites positives, mais également les immissions dites négatives, telles que la privation de lumière et l'ombrage ( ATF 126 III 452 consid. 2; arrêt 5A_415/2008 du 12 mars 2009 consid. 3.1, in ZBGR 91/2010 BGE 138 III 49 S. 55 p. 156). Le propriétaire victime d'immissions peut agir en cessation ou prévention du trouble ainsi qu'en réparation du dommage ( art. 679 CC ).</w:t>
      </w:r>
    </w:p>
    <w:p>
      <w:r>
        <w:rPr>
          <w:b/>
        </w:rPr>
        <w:t>E. 4.4.2</w:t>
      </w:r>
    </w:p>
    <w:p>
      <w:r>
        <w:t>L' art. 686 CC constitue une réserve proprement dite en faveur des cantons, ceux-ci étant habilités à réglementer l'ensemble du droit privé des constructions. Cependant, dans ce domaine, les cantons ont édicté presque exclusivement des règles de droit public, en vertu de la compétence que leur réserve l' art. 6 al. 1 CC . L'adoption de ce type de règles est admissible à la triple condition que le législateur fédéral n'ait pas entendu réglementer la matière de façon exhaustive, que ces règles soient justifiées par un intérêt public pertinent et qu'elles n'éludent pas le droit civil fédéral, ni n'en contredisent le sens et l'esprit. Dans ces limites, le droit public cantonal des constructions dispose d'une force expansive et détermine de plus en plus, au moyen de règlements des constructions et de plans des zones, les immissions qui sont admissibles eu égard à la situation des immeubles et à l'usage local. Assurément, les plans de zones et les règlements des constructions ne déterminent pas obligatoirement la situation des immeubles et l'usage local au sens de l' art. 684 CC . Cependant, le droit public des constructions constitue, d'une part, un indice de l'usage local et, d'autre part, il doit être pris en compte dans l'application de l' art. 684 CC dans la mesure où l'unité de l'ordre juridique interdit que le droit privé et le droit public coexistent sans aucun rapport entre eux. Dans ce sens, l' art. 6 al. 1 CC n'exprime pas seulement une réserve improprement dite en faveur des cantons, mais il impose aussi une harmonisation des règles du droit civil fédéral et du droit public cantonal. Cette extension du droit public des constructions a certes tendance à empiéter sur la protection contre les immissions garantie par le droit privé. Elle se justifie néanmoins dans la mesure où l'on a affaire à des plans de zones et des règlements des constructions détaillés, instruments qui satisfont aux objectifs supérieurs de l'aménagement du territoire, notamment au principe de la planification rationnelle de l'ensemble du territoire réservé à l'habitat. En conséquence, lorsqu'un projet de construction correspond aux normes déterminantes du droit public sur la distance entre les constructions, qui ont été promulguées dans le cadre d'un règlement des constructions et des zones détaillé, conforme aux buts et aux principes de la planification définis par le droit de l'aménagement du territoire, il n'y a en règle générale pas d'immissions excessives au sens de l' art. 684 CC ( ATF 132 III 49 consid. 2.2; ATF 129 III 161 consid. 2.6 in fine). BGE 138 III 49 S. 56</w:t>
      </w:r>
    </w:p>
    <w:p>
      <w:r>
        <w:rPr>
          <w:b/>
        </w:rPr>
        <w:t>E. 4.4.3</w:t>
      </w:r>
    </w:p>
    <w:p>
      <w:r>
        <w:t>Lorsque les immissions proviennent d'une construction autorisée par décision administrative, le juge civil saisi d'une action fondée sur les art. 679/684 CC ne doit pas examiner la validité de cette décision, ni substituer sa propre appréciation à celle de l'autorité administrative. Il ne peut statuer en effet à titre préjudiciel sur des questions de droit public que si l'autorité compétente ne s'est pas déjà prononcée à ce sujet ( ATF 137 III 8 consid. 3.3.1 et les références citées). Le juge civil est lié par la décision administrative rendue par l'autorité compétente, à moins que cette décision ne soit absolument nulle ( ATF 108 II 456 consid. 2; arrêts 5A_136/2009 du 19 novembre 2009 consid. 4.2, in RNRF 92/2011 p. 168 et SJ 2010 I p. 321; 5A_265/2009 du 17 novembre 2009 consid. 4.2, non publié in ATF 136 III 60 ). Or, dès qu'une décision administrative n'est plus susceptible de recours, l'application du régime qu'elle établit est censée conforme à l'ordre juridique, même si, en réalité, cette décision est viciée. Une décision est nulle, c'est-à-dire absolument inefficace, que si le vice qui l'affecte est particulièrement grave, s'il est manifeste ou du moins facilement décelable et si, de surcroît, la sécurité du droit n'est pas sérieusement mise en danger par la constatation de cette nullité. Des vices de fond d'une décision n'entraînent qu'exceptionnellement sa nullité. Entrent avant tout en considération comme motifs de nullité l'incompétence fonctionnelle et matérielle de l'autorité appelée à statuer, ainsi qu'une erreur manifeste de procédure ( ATF 132 II 21 consid. 3.1 et les arrêts cités). Ainsi, en règle générale, un acte administratif illégal est simplement annulable dès lors que la plupart des décisions viciées le sont par leur contenu. Reconnaître la nullité autrement que dans des cas tout à fait exceptionnels conduirait à une trop grande insécurité; par ailleurs, le développement de la juridiction administrative offrant aux administrés suffisamment de possibilités de contrôle sur le contenu des décisions, on peut attendre d'eux qu'ils fassent preuve de diligence et réagissent en temps utile (arrêt 9C_333/2007 du 24 juillet 2008 consid. 2.1 et les arrêts cités, in SVR 2009 AHV 1 1). Il résulte de ce qui précède qu'en matière de constructions, la force expansive du droit public cantonal, d'une part, et les restrictions mises au pouvoir d'examen du juge civil qui, sauf nullité, ne peut revoir les décisions administratives entrées en force, d'autre part, rendent pratiquement sans objet la protection de droit civil contre les immissions de l' art. 684 CC . BGE 138 III 49 S. 57</w:t>
      </w:r>
    </w:p>
    <w:p>
      <w:r>
        <w:rPr>
          <w:b/>
        </w:rPr>
        <w:t>E. 4.4.4</w:t>
      </w:r>
    </w:p>
    <w:p>
      <w:r>
        <w:t>Néanmoins, même lorsqu'une construction est définitivement autorisée par le droit administratif, l'application de l' art. 684 CC n'est pas totalement exclue (arrêt 5A_285/2011 du 14 novembre 2011 consid. 3.2). En effet, les règles de droit formel ou matériel décrétées par le droit public cantonal peuvent se révéler insuffisantes pour protéger les voisins de manière adéquate. Dans de telles situations, la protection accordée par le droit civil fédéral conserve sa valeur comme garantie minimale. Le Tribunal fédéral n'a pas renoncé à cette protection dans ses précédents arrêts. En effet, il en ressort que les règlements sur les zones et les constructions ne fixent pas obligatoirement la situation des immeubles et l'usage local au sens de l' art. 684 CC , mais constituent uniquement un indice à cet égard. Pour cette raison, c'est "en règle générale" ("in der Regel") seulement que le droit public cantonal des constructions ne laisse plus place à l'application de l' art. 684 CC (cf. supra consid. 4.4.2; ATF 132 III 49 consid. 2.2; ATF 129 III 161 consid. 2.6; cf. aussi, arrêt 5A_285/2011 du 14 novembre 2011 consid. 3.2). En résumé, outre le cas où la décision administrative est nulle, le juge civil peut faire interdire ou modifier une construction, même autorisée par décision administrative, si les immissions que cette construction cause sont si graves que la protection minimale fondée sur l' art. 684 CC ne serait sinon plus garantie.</w:t>
      </w:r>
    </w:p>
    <w:p>
      <w:r>
        <w:rPr>
          <w:b/>
        </w:rPr>
        <w:t>E. 4.4.5</w:t>
      </w:r>
    </w:p>
    <w:p>
      <w:r>
        <w:t>Pour délimiter les immissions qui sont admissibles de celles qui sont inadmissibles, c'est-à-dire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 trouverait dans la même situation. Ce faisant, il doit garder à l'esprit que l' art. 684 CC , en tant que norme du droit du voisinage, doit servir en premier lieu à établir un équilibre entre les intérêts divergents des voisins. Le Tribunal fédéral revoit en principe librement de telles décisions d'appréciation; il s'impose cependant une certaine retenue et n'intervient que si le juge cantonal a fait un usage erroné de son pouvoir d'appréciation, c'est-à-dire s'il s'est écarté sans motifs de principes admis par la doctrine et la jurisprudence, s'il a pris en considération des éléments qui n'auraient dû jouer aucun rôle ou si, au contraire, il a omis de prendre en considération des circonstances juridiquement pertinentes. Doivent en outre être annulées et corrigées les décisions BGE 138 III 49 S. 58 d'appréciation qui aboutissent à un résultat manifestement inéquitable ou à une injustice choquante ( ATF 132 III 49 consid. 2.1).</w:t>
      </w:r>
    </w:p>
    <w:p>
      <w:r>
        <w:rPr>
          <w:b/>
        </w:rPr>
        <w:t>E. 4.5.1</w:t>
      </w:r>
    </w:p>
    <w:p>
      <w:r>
        <w:t>En l'espèce, les recourantes ont obtenu l'autorisation de construire deux étages supplémentaires à leur bâtiment, comprenant l'ouverture de seize fenêtres en limite de propriété. L'intimée n'a pas formé opposition à ce projet, alors que, ayant été directement contactée par les recourantes, elle devait s'attendre à ce que la construction de logements soit prochainement réalisée. Elle s'est contentée de demander la révocation de l'autorisation de construire, révocation qui a été refusée par l'autorité compétente le 1 er juillet 2008, laquelle a précisé que cette décision, entrée en force, était conforme au plan localisé de quartier, ainsi qu'à toutes les autres dispositions légales et réglementaires. L'intimée a également renoncé à recourir contre cette décision. L'ouverture de vues droites en limite de propriété en vertu du PLQ 1995 est donc censée être conforme à l'ordre juridique. Par ailleurs, même si l'on admettait que le PLQ 1995 ne contient aucune disposition dérogatoire sur les distances, cette autorisation ne pourrait être considérée comme viciée au point qu'il faille la qualifier de nulle. Au demeurant, l'intimée n'a elle-même jamais invoqué la nullité de la décision et la cour cantonale n'a pas constaté un tel vice. Partant, étant liée par l'autorisation de construire qui autorise l'ouverture de fenêtres en limite de propriété, c'est en violation du droit fédéral que l'autorité cantonale a réexaminé la conformité du projet litigieux au droit public cantonal et substitué ainsi sa propre appréciation à celle de l'autorité administrative compétente.</w:t>
      </w:r>
    </w:p>
    <w:p>
      <w:r>
        <w:rPr>
          <w:b/>
        </w:rPr>
        <w:t>E. 4.5.2</w:t>
      </w:r>
    </w:p>
    <w:p>
      <w:r>
        <w:t>Il reste toutefois à examiner si, bien que la construction litigieuse ait été autorisée par décision administrative valable et entrée en force, l' art. 684 CC doit s'appliquer pour garantir une protection minimale de droit civil fédéral. A cet égard, il est incontesté que la fenêtre oscillo-battante située à l'extrême gauche du bâtiment se trouve à l'endroit précis où les deux bâtiments surélevés sont censés s'adosser l'un à l'autre conformément au PLQ 1995; elle restreint les possibilités de l'intimée de surélever son bâtiment sur une largeur de 2 m 50. L'immission causée par cette fenêtre est intolérable du point de vue du droit civil. Partant, en vertu de l' art. 684 CC , le chiffre 1 de l'arrêt attaqué, qui ordonne de murer la fenêtre oscillo-battante située à l'extrême gauche de la façade nord-ouest du bâtiment, doit être maintenu. BGE 138 III 49 S. 59 En revanche, les quinze autres fenêtres litigieuses n'entraînent pas d'atteinte à ce point grave que le droit civil fédéral doive intervenir pour garantir une protection minimale. En effet, tout d'abord, au vu de l'interprétation qu'a faite l'autorité administrative du PLQ 1995, autorisant le propriétaire à construire et à ouvrir des vues droites en limite de propriété, interprétation que le DCTI a du reste confirmée dans son courrier du 1 er juillet 2008, rien ne permet d'affirmer que l'intimée ne pourra pas en faire de même ou qu'elle verra les possibilités d'habitation de son immeuble réduites. Ensuite, la perte d'intimité que l'intimée invoque n'apparaît pas intolérable; en particulier, celle-ci peut elle-même poser des verres opaques sur ses lucarnes si elle ne souhaite pas être observée et entamer toute procédure qui lui semblerait utile pour empêcher que des voisins viennent se promener sur son toit. Partant, le chiffre 2 de l'arrêt attaqué, qui ordonne de pourvoir les quinze autres fenêtres litigieuses de jours fixes opaques et translucides,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