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138 III 44</w:t>
      </w:r>
    </w:p>
    <w:p>
      <w:r>
        <w:t>Bundesgericht (BGE), 2011-11-21, FR</w:t>
      </w:r>
    </w:p>
    <w:p>
      <w:r>
        <w:rPr>
          <w:b/>
        </w:rPr>
        <w:t xml:space="preserve">Quelle: </w:t>
      </w:r>
      <w:r>
        <w:t>https://mcp.opencaselaw.ch/entscheid/bge_BGE_138_III_44</w:t>
      </w:r>
    </w:p>
    <w:p>
      <w:r>
        <w:t>FR: ATF 138 III 44</w:t>
      </w:r>
    </w:p>
    <w:p>
      <w:r>
        <w:t>IT: DTF 138 III 44</w:t>
      </w:r>
    </w:p>
    <w:p>
      <w:pPr>
        <w:pStyle w:val="Heading2"/>
      </w:pPr>
      <w:r>
        <w:t>Regeste</w:t>
      </w:r>
    </w:p>
    <w:p>
      <w:r>
        <w:t>Regeste Art. 75 (und 114) BGG und Art. 265a Abs. 1 SchKG; Einrede fehlenden neuen Vermögens. Zulässigkeit der Beschwerde an das Bundesgericht gegen den im summarischen Verfahren ergangenen Entscheid über das Vorliegen neuen Vermögens (E. 1.3).</w:t>
      </w:r>
    </w:p>
    <w:p>
      <w:r>
        <w:t>Regeste Art. 75 (et 114) LTF et art. 265a al. 1 LP; exception de non-retour à meilleure fortune. Recevabilité du recours au Tribunal fédéral contre la décision prise en procédure sommaire sur le retour à meilleure fortune (consid. 1.3).</w:t>
      </w:r>
    </w:p>
    <w:p>
      <w:r>
        <w:t>Regesto Art. 75 (e 114) LTF e art. 265a cpv. 1 LEF; eccezione di non ritorno a miglior fortuna. Ammissibilità del ricorso al Tribunale federale contro la decisione emanata in procedura sommaria d'accertamento del ritorno a miglior fortuna (consid. 1.3).</w:t>
      </w:r>
    </w:p>
    <w:p>
      <w:pPr>
        <w:pStyle w:val="Heading2"/>
      </w:pPr>
      <w:r>
        <w:t>Erwägungen</w:t>
      </w:r>
    </w:p>
    <w:p>
      <w:r>
        <w:rPr>
          <w:b/>
        </w:rPr>
        <w:t>E. 1.3</w:t>
      </w:r>
    </w:p>
    <w:p>
      <w:r>
        <w:t>En vertu de l' art. 265 a al. 1 LP - dans sa teneur en vigueur depuis le 1 er janvier 2011 (RO 2010 1739, 1849; FF 2006 6841, 7126) -, la décision prise en procédure sommaire sur le retour à meilleure fortune ( art. 251 let . d CPC; RS 272) n'est sujette à aucun recours (cantonal). Il s'agit là d'une norme spéciale qui déroge au principe de la double instance et à l'exigence d'un tribunal supérieur, posés à l' art. 75 al.</w:t>
      </w:r>
    </w:p>
    <w:p>
      <w:r>
        <w:rPr>
          <w:b/>
        </w:rPr>
        <w:t>E. 2</w:t>
      </w:r>
    </w:p>
    <w:p>
      <w:r>
        <w:t>LTF ( ATF 134 III 524 consid. 1.4 [pour l'ancienne teneur de l'art. 265 a al. 1 in fine LP]; CHEVALIER, Die Beschwerde in Zivilsachen an das Bundesgericht, 2009, n° 217; REETZ/THEILER, in Kommentar zur Schweizerischen Zivilprozessordnung, 2010, n° 6 ad art. 309 CPC ; pour le recours à l'encontre du jugement de faillite de change [ art. 189 LP ], cf. arrêt 5A_268/2010 du 30 avril 2010 consid. 1.2, in Pra 2011 n° 10). En outre, le recourant ne dénonce pas une fausse application du droit des poursuites, mais une violation de son droit d'être entendu (cf. consid. 2 non publié), en sorte que le recours est ouvert du chef de l' art. 75 al. 1 LTF ( ATF 134 III 524 consid. 1.3; REETZ/THEILER, loc. cit.).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