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III 333</w:t>
      </w:r>
    </w:p>
    <w:p>
      <w:r>
        <w:t>Bundesgericht (BGE), 2012-03-23, FR</w:t>
      </w:r>
    </w:p>
    <w:p>
      <w:r>
        <w:rPr>
          <w:b/>
        </w:rPr>
        <w:t xml:space="preserve">Quelle: </w:t>
      </w:r>
      <w:r>
        <w:t>https://mcp.opencaselaw.ch/entscheid/bge_BGE_138_III_333</w:t>
      </w:r>
    </w:p>
    <w:p>
      <w:r>
        <w:t>FR: ATF 138 III 333</w:t>
      </w:r>
    </w:p>
    <w:p>
      <w:r>
        <w:t>IT: DTF 138 III 333</w:t>
      </w:r>
    </w:p>
    <w:p>
      <w:pPr>
        <w:pStyle w:val="Heading2"/>
      </w:pPr>
      <w:r>
        <w:t>Regeste</w:t>
      </w:r>
    </w:p>
    <w:p>
      <w:r>
        <w:t>Regeste aArt. 283 ZGB (= Art. 303 Abs. 2 lit. b ZPO), Art. 93 Abs. 1 BGG; vorsorgliche Massnahmen zugunsten eines minderjährigen Kindes. Der in Anwendung von aArt. 283 ZGB angeordnete vorsorgliche Massnahmeentscheid zugunsten eines Kindes, dessen Abstammung nicht feststeht, ist ein Zwischenentscheid (E. 1.2), der grundsätzlich keinen nicht wieder gutzumachenden Nachteil bewirkt (E. 1.3).</w:t>
      </w:r>
    </w:p>
    <w:p>
      <w:r>
        <w:t>Regeste Ancien art. 283 CC (= art. 303 al. 2 let. b CPC), art. 93 al. 1 LTF; mesures provisionnelles en faveur de l'enfant mineur. La décision ordonnant, en application de l'ancien art. 283 CC, des mesures provisionnelles en faveur d'un enfant mineur dont la filiation n'est pas établie constitue une décision incidente (consid. 1.2) qui ne cause en principe pas de préjudice irréparable (consid. 1.3).</w:t>
      </w:r>
    </w:p>
    <w:p>
      <w:r>
        <w:t>Regesto Vecchio art. 283 CC (= art. 303 cpv. 2 lett. b CPC), art. 93 cpv. 1 LTF; provvedimenti cautelari in favore del figlio minorenne. La decisione, che ordina in applicazione del vecchio art. 283 CC dei provvedimenti cautelari in favore di un figlio minorenne il cui rapporto di filiazione non è accertato, costituisce una decisione incidentale (consid. 1.2) che in linea di principio non causa un pregiudizio irreparabile (consid. 1.3).</w:t>
      </w:r>
    </w:p>
    <w:p>
      <w:pPr>
        <w:pStyle w:val="Heading2"/>
      </w:pPr>
      <w:r>
        <w:t>Erwägungen</w:t>
      </w:r>
    </w:p>
    <w:p>
      <w:r>
        <w:rPr>
          <w:b/>
        </w:rPr>
        <w:t>E. 1.2</w:t>
      </w:r>
    </w:p>
    <w:p>
      <w:r>
        <w:t>Bien que la décision entreprise ne soit pas très claire sur ce point, les mesures provisoires ordonnées dans le cas présent se fondent sur l'ancien art. 283 CC (= art. 303 al. 2 let. b CPC ), aux termes duquel, lorsque la paternité est présumée et le reste après l'administration des preuves immédiatement disponibles, le défendeur doit, sur requête du demandeur, même avant le jugement, contribuer d'une manière équitable à l'entretien de l'enfant. Il ne s'agit pas là de mesures de réglementation - comme les mesures provisionnelles ordonnées en faveur d'un enfant mineur à l'égard duquel le lien de BGE 138 III 333 S. 335 filiation est établi (ancien art. 281 al. 2 CC ; ATF 137 III 586 consid. 1.2, avec les références) -, mais de mesures d'exécution anticipées (HOHL, La réalisation du droit et les procédures rapides, 1994, n os 576 ss, avec les citations): si l'action est admise, les contributions provisionnelles versées "constitueront des à-valoir sur la créance de l'enfant", alors que, dans le cas inverse, "elles devront être remboursées au défendeur" ( ATF 136 IV 122 consid. 2.3 et la doctrine citée). La décision qui les ordonne est ainsi une décision incidente au sens de l' art. 93 al. 1 LTF , à l'instar de celle qui est rendue en faveur d'un enfant majeur sur la base de l'ancien art. 281 CC ( ATF 135 III 238 ). C'est dès lors à juste titre - mais avec une motivation erronée - que le magistrat précédent s'est référé à l' art. 93 al. 1 LTF . Il en va de même du recourant, lorsqu'il discute la recevabilité du recours; avec raison, il ne mentionne pas l' art. 92 LTF , faute de décision sur la compétence notifiée séparément (cf. ATF 135 III 566 consid. 1); d'ailleurs, son chef de conclusions principal semble avoir a priori pour objet de provoquer une telle décision séparée, droit qu'il pourrait le cas échéant faire valoir s'il s'exposait à un préjudice irréparable (sur cette possibilité: UHLMANN, in Basler Kommentar, Bundesgerichtsgesetz, 2 e éd. 2011, n° 5 ad art. 92 LTF ).</w:t>
      </w:r>
    </w:p>
    <w:p>
      <w:r>
        <w:rPr>
          <w:b/>
        </w:rPr>
        <w:t>E. 1.3</w:t>
      </w:r>
    </w:p>
    <w:p>
      <w:r>
        <w:t>Selon l' art. 93 al. 1 LTF , les décisions incidentes sont susceptibles de recours si elles peuvent causer un préjudice irréparable (let. a) ou si l'admission du recours peut conduire immédiatement à une décision finale qui permet d'éviter une procédure probatoire longue et coûteuse (let. b). L'hypothèse prévue à l' art. 93 al. 1 let. b LTF étant exclue en l'occurrence ( ATF 137 III 589 consid. 1.2.3), il y a lieu d'examiner si la décision attaquée cause un préjudice irréparable, comme le prétend le recourant.</w:t>
      </w:r>
    </w:p>
    <w:p>
      <w:r>
        <w:rPr>
          <w:b/>
        </w:rPr>
        <w:t>E. 1.3.1</w:t>
      </w:r>
    </w:p>
    <w:p>
      <w:r>
        <w:t>Le "préjudice irréparable" au sens de la disposition précitée doit être de nature juridique et ne pas pouvoir être réparé ultérieurement par une décision finale favorable au recourant ( ATF 137 III 324 consid. 1.1; ATF 137 V 314 consid. 2.2.1 et les arrêts cités). De jurisprudence constante, le fait d'être exposé au paiement d'une somme d'argent n'entraîne, en principe, aucun préjudice de cette nature ( ATF 137 III 637 consid. 1.2 et l'arrêt cité).</w:t>
      </w:r>
    </w:p>
    <w:p>
      <w:r>
        <w:rPr>
          <w:b/>
        </w:rPr>
        <w:t>E. 1.3.2</w:t>
      </w:r>
    </w:p>
    <w:p>
      <w:r>
        <w:t>En l'espèce, le recourant allègue que, privé de revenu hormis sa retraite de 1'776 USD par mois, il sera contraint de vendre l'immeuble qu'il possède aux États-Unis, détériorant ainsi gravement sa situation financière. Au surplus, vu la situation financière précaire de BGE 138 III 333 S. 336 la mère de l'enfant, il est exposé à ne pas pouvoir recouvrer les montants payés à tort en cas d'issue favorable du procès. Ce faisant, le recourant se contente d'exposer son propre point de vue en s'appuyant sur certains éléments isolés du dossier. Par exemple, il ne ressort pas de la décision déférée qu'il ne disposerait plus d'aucune fortune; cette décision retient en outre qu'il a perçu un salaire particulièrement confortable en Suisse, ainsi qu'une compensation financière de 100'000 fr. (dont à déduire les taxes usuelles), avant de quitter son employeur à fin décembre 2009. De surcroît, le juge précédent relève que deux témoins - entendus à l'audience de mesures provisionnelles du 5 juillet 2011 - ont déclaré "que [le recourant] menait un très grand train de vie et semblait dès lors avoir beaucoup d'argent, s'en vantant même". Or, le recourant ne discute pas ces points, respectivement se contente de relativiser lesdits témoignages; ses allégations quant à la nécessité d'aliéner son bien immobilier et à l'impossibilité de récupérer les pensions versées indûment ne sont ainsi pas de nature à infirmer le principe selon lequel un préjudice purement économique n'est pas irréparable au sens de l' art. 93 al. 1 let. a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