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304</w:t>
      </w:r>
    </w:p>
    <w:p>
      <w:r>
        <w:t>Bundesgericht (BGE), 2012-04-05, DE</w:t>
      </w:r>
    </w:p>
    <w:p>
      <w:r>
        <w:rPr>
          <w:b/>
        </w:rPr>
        <w:t xml:space="preserve">Quelle: </w:t>
      </w:r>
      <w:r>
        <w:t>https://mcp.opencaselaw.ch/entscheid/bge_BGE_138_III_304</w:t>
      </w:r>
    </w:p>
    <w:p>
      <w:r>
        <w:t>FR: ATF 138 III 304</w:t>
      </w:r>
    </w:p>
    <w:p>
      <w:r>
        <w:t>IT: DTF 138 III 304</w:t>
      </w:r>
    </w:p>
    <w:p>
      <w:pPr>
        <w:pStyle w:val="Heading2"/>
      </w:pPr>
      <w:r>
        <w:t>Regeste</w:t>
      </w:r>
    </w:p>
    <w:p>
      <w:r>
        <w:t>Regeste a Ist das auf einen Vertrag (Abgrenzungsvereinbarung) gestützte gerichtliche Verbot an eine Partei, gegen Eintragungsgesuche einer bestimmten Marke Widerspruch zu erheben, bzw. der Befehl, bereits erhobene Widersprüche zurückzuziehen, ein Prozessführungsverbot ("anti-suit injunction")? Begriff der "anti-suit injunction" und Anwendungsfälle. Zur Zulässigkeit des Erlasses von Prozessführungsverboten durch schweizerische Gerichte (E. 5.3.1). Die vorliegend ausgesprochenen Befehle und Verbote zielen auf die Durchsetzung von materiellrechtlichen Unterlassungspflichten ab; damit wurde keine anti-suit injunction erlassen (E. 5.3.2). Dem Gericht, das für den Entscheid über Ansprüche aus der Abgrenzungsvereinbarung zuständig ist, steht der Erlass solcher Anordnungen zu (E. 5.4).</w:t>
      </w:r>
    </w:p>
    <w:p>
      <w:r>
        <w:t>Regeste b Markenabgrenzungsvereinbarung; Vertragsbeendigung aus wichtigen Gründen. Umschreibung des Vertragstyps der Markenabgrenzungsvereinbarung. Zulässigkeit. Abgrenzung zum Lizenzvertrag. Anwendbarkeit der Grundsätze über die ausserordentliche Kündigung von Dauerschuldverhältnissen und Ausschluss einer ordentlichen Kündigung (E. 6, 7 und 11).</w:t>
      </w:r>
    </w:p>
    <w:p>
      <w:r>
        <w:t>Regeste a La décision judiciaire fondée sur un contrat (accord de délimitation), interdisant à une partie de s'opposer aux demandes d'enregistrement d'une marque déterminée et lui ordonnant de se désister des oppositions déjà introduites, est-elle une prohibition d'agir à un autre for ("anti-suit injunction")? Notion de l'"anti-suit injunction" et cas d'application. Faculté des tribunaux suisses d'imposer des prohibitions d'agir à un autre for (consid. 5.3.1). Les ordres et interdictions prononcés en l'espèce tendent à l'exécution d'obligations de s'abstenir imposées par le droit de fond; aucune anti-suit injunction n'est ainsi édictée (consid. 5.3.2). Le tribunal compétent pour connaître des prétentions fondées sur l'accord de délimitation est aussi compétent pour ordonner ces ordres et interdictions (consid. 5.4).</w:t>
      </w:r>
    </w:p>
    <w:p>
      <w:r>
        <w:t>Regeste b Accord de délimitation de marques; rupture du contrat pour motifs importants. Classement de l'accord de délimitation de marques parmi les espèces de contrats. Validité. Délimitation par rapport au contrat de licence. Applicabilité des principes concernant la résiliation extraordinaire des rapports d'obligation durables et exclusion d'une résiliation ordinaire (consid. 6, 7 et 11).</w:t>
      </w:r>
    </w:p>
    <w:p>
      <w:r>
        <w:t>Regesto a La decisione giudiziale, basata su un contratto (accordo di delimitazione), che vieta a una parte di opporsi alla registrazione di un determinato marchio o che le ordina di ritirare opposizioni già sollevate, è un divieto di condurre un processo in un altro foro ("anti-suit injunction")? Nozione di "anti-suit injunction" e casi di applicazione. Sulla facoltà dei tribunali svizzeri di emanare divieti di condurre processi (consid. 5.3.1). Gli ordini e i divieti pronunciati in concreto tendono all'esecuzione di obblighi di non fare del diritto materiale; non è così stata emanata una anti-suit injunction (consid. 5.3.2). Il tribunale, che è competente per la decisione sulle pretese derivanti da un accordo di delimitazione, ha pure la competenza di emanare tali disposizioni (consid. 5.4).</w:t>
      </w:r>
    </w:p>
    <w:p>
      <w:r>
        <w:t>Regesto b Accordo di delimitazione dei marchi; recesso dal contratto per motivi gravi. Descrizione del contratto avente per oggetto un accordo di delimitazione dei marchi. Ammissibilità. Distinzione con il contratto di licenza. Applicabilità dei principi sulla disdetta straordinaria di rapporti obbligatori di durata ed esclusione di una disdetta ordinaria (consid. 6, 7 e 11).</w:t>
      </w:r>
    </w:p>
    <w:p>
      <w:pPr>
        <w:pStyle w:val="Heading2"/>
      </w:pPr>
      <w:r>
        <w:t>Erwägungen</w:t>
      </w:r>
    </w:p>
    <w:p>
      <w:r>
        <w:rPr>
          <w:b/>
        </w:rPr>
        <w:t>E. 5.1</w:t>
      </w:r>
    </w:p>
    <w:p>
      <w:r>
        <w:t>Die Beschwerdeführerin rügt sodann, die Vorinstanz habe Bundesrecht sowie Staatsvertragsrecht verletzt, indem sie auf die Rechtsbegehren Ziffern 3 und 4 eingetreten sei, mit denen die Beschwerdegegnerin beantragte, der Beschwerdeführerin sei unter Straffolge zu verbieten, Widerspruch gegen sämtliche hängigen und zukünftigen Markeneintragungsgesuche der Beschwerdegegnerin bezüglich der Wort-/Bildmarke "Ice-Watch" (fig.) zu erheben, und der Beschwerdeführerin sei zu befehlen, zahlreiche bereits eingereichte Widersprüche zurückzuziehen. Bei der von der Vorinstanz angeordneten Verpflichtung, Widersprüche gegen Markeneintragungsgesuche zurückzuziehen bzw. nicht zu erheben, handle es sich um unzulässige Prozessführungsverbote (anti-suit injunctions). Nach schweizerischem Recht dürfe ein Gericht generell keine Prozessführungsverbote aussprechen, und zwar unabhängig davon, ob ein Binnen- oder ein internationaler Sachverhalt vorliege. Ein Prozessführungsverbot bedeute einen unzulässigen Eingriff in die Kompetenz des Zielgerichts, selber über seine Zuständigkeit entscheiden zu können (sog. Kompetenz-Kompetenz). Namentlich soweit Widerspruchsverfahren im Anwendungsbereich des LugÜ (SR 0.275.12) betroffen seien, sei zu beachten, dass der vorliegend anwendbare Art. 16 Ziff. 4 LugÜ in der Fassung vom 16. September 1988 (aLugÜ; AS 1991 2436), gleich wie der Art. 22 Nr. 4 des revidierten LugÜ vom 30. Oktober 2007 vorsehe, dass Bestandesklagen über Immaterialgüterrechte, zu denen auch die Widerspruchsklagen zählten, von den Gerichten desjenigen Mitgliedstaats zu behandeln seien, in dem die Hinterlegung des Immaterialgüterrechts beantragt oder vorgenommen worden sei. Somit verstosse namentlich die Verpflichtung, die Widersprüche für Markeneintragungsgesuche im LugÜ-Raum zurückzuziehen bzw. in Mitgliedstaaten des LugÜ keine Widersprüche zu erheben, gegen Art. 16 Ziff. 4 aLugÜ. BGE 138 III 304 S. 311</w:t>
      </w:r>
    </w:p>
    <w:p>
      <w:r>
        <w:rPr>
          <w:b/>
        </w:rPr>
        <w:t>E. 5.2</w:t>
      </w:r>
    </w:p>
    <w:p>
      <w:r>
        <w:t>Die Vorinstanz erwog dazu, die Antwort auf die Frage, ob ein schweizerisches Gericht ein Urteil mit Wirkungen über die eigenen Landesgrenzen hinaus fällen könne, sei in der Abgrenzungsvereinbarung zwischen den Parteien zu suchen. Vorliegend könne die Vorinstanz gestützt auf schweizerisches Recht ein Urteil über konkrete vertragliche Verpflichtungen fällen. Es könne und müsse im Rahmen der gesetzlichen Schranken formell zulässige Rechtsbegehren, wenn sie begründet seien, zusprechen, und zwar so wie unter den Parteien vereinbart. Vorliegend hätten die Parteien die weltweite Gültigkeit der Abgrenzungsvereinbarung vorgesehen, so dass sich die Beschwerdeführerin verpflichtet habe, weltweit keine Widersprüche gegen die Wort-/Bildmarke der Beschwerdegegnerin gemäss Abgrenzungsvereinbarung zu erheben. Gestützt darauf könne die Beschwerdeführerin zum Rückzug der weltweiten Widersprüche verurteilt werden.</w:t>
      </w:r>
    </w:p>
    <w:p>
      <w:r>
        <w:rPr>
          <w:b/>
        </w:rPr>
        <w:t>E. 5.3</w:t>
      </w:r>
    </w:p>
    <w:p>
      <w:r>
        <w:t>Es stellt sich zunächst die Frage, ob die Vorinstanz gegenüber der Beschwerdeführerin ein Prozessführungsverbot der behaupteten Art (sog. "anti-suit injunction") ausgesprochen hat.</w:t>
      </w:r>
    </w:p>
    <w:p>
      <w:r>
        <w:rPr>
          <w:b/>
        </w:rPr>
        <w:t>E. 5.3.1</w:t>
      </w:r>
    </w:p>
    <w:p>
      <w:r>
        <w:t>Anti-suit injunctions sind Prozessführungsverbote, mit denen das Gericht, das sich zur Entscheidung einer internationalen Streitigkeit als zuständig ansieht, einer Partei eines bei ihm anhängigen Verfahrens untersagt, eine Klage vor einem anderen (ausländischen) Gericht zu erheben, dessen Zuständigkeit es als nicht gegeben oder zumindest weniger begründet als seine eigene betrachtet, oder ein dortiges Verfahren weiterzubetreiben (DOMENICO ACOCELLA, in: Lugano-Übereinkommen [LugÜ] zum internationalen Zivilverfahrensrecht, Kommentar, Anton K. Schnyder [Hrsg.], 2011, N. 29 zu Vorbem. Art. 2 LugÜ ; FAVALLI/AUGSBURGER, in: Basler Kommentar, Lugano-Übereinkommen, 2011, N. 50 zu Art. 31 LugÜ ; YVES DERAINS, L'abus des "anti-suit injunctions" en matière d'arbitrage international et la convention de New York, in: De lege ferenda, Études pour le Professeur Alain Hirsch, 2004, S. 105 f.; KAUFMANN-KOHLER/RIGOZZI, Arbitrage international, 2. Aufl. 2010, Rz. 457a; EMMANUEL GAILLARD, Introduction, in: Anti-suit injunctions in international arbitration, New York 2005, S. 1; OLIVIER LUC MOSIMANN, Anti-suit injunctions in international commercial arbitration, Den Haag 2010, S. 7). Es geht dabei um Klagen mit einem identischen oder konnexen Verfahrensgegenstand bzw. um "Parallelverfahren" (FAVALLI/AUGSBURGER, a.a.O., N. 50 zu Art. 31 LugÜ ; SCHNYDER/LIATOWITSCH, Internationales Privat- und Zivilverfahrensrecht, 3. Aufl. 2011, Rz. 328; MANUEL LIATOWITSCH, BGE 138 III 304 S. 312 Schweizerische Schiedsgerichte und Parallelverfahren vor Staatsgerichten im In- und Ausland, 2002, S. 146; LIATOWITSCH/BERNET, Probleme bei parallelen Verfahren vor staatlichen Gerichten und vor Schiedsgerichten, in: Internationales Zivilprozess- und Verfahrensrecht, Bd. IV, Karl Spühler [Hrsg.], 2005, S. 162). Entsprechende Prozessführungsverbote sind dem Zuständigkeitsrecht und damit dem Prozessrecht zuzuordnen; sie bilden eine Erscheinungsform des Kampfes um den (vorteilhaften) Gerichtsstand (MARCO STACHER, Prozessführungsverbote zur Vermeidung von sich widersprechenden Entscheiden, ZZZ 2006 S. 61 ff., 62 Rz. 4; MICHAEL KÄHR, Der Kampf um den Gerichtsstand - Forum Shopping im internationalen Verfahrensrecht der Schweiz, 2010, S. 11; LIATOWITSCH, a.a.O., S. 147 spricht von einer "prozessualen Offensivwaffe"; ebenso LIATOWITSCH/BERNET, a.a.O., S. 162; vgl. dazu auch ACOCELLA, a.a.O., N. 29 ff., 36 zu Vorbem. Art. 2 LugÜ ; BERGER/KELLERHALS, International and domestic arbitration in Switzerland, 2. Aufl. 2010, Rz. 616 f.; KAUFMANN-KOHLER/RIGOZZI, a.a.O., Rz. 457a). Insbesondere Gerichte aus dem angelsächsischen Raum erlassen anti-suit injunctions denn auch, um ein missbräuchliches forum-shopping zu verhindern. Als Anwendungsfälle zu nennen sind insbesondere die drohende oder bereits eingeleitete missbräuchliche Prozessführung vor ausländischen Gerichten oder die drohende oder bereits erfolgte Verletzung von Gerichtstands- und Schiedsvereinbarungen oder in einem Vergleich geschlossenen Vereinbarungen, über den verglichenen Streitgegenstand nicht mehr zu prozessieren; weitere Fallgruppen bilden Konstellationen, in denen mehrere alternative Gerichtsstände zur Verfügung stehen oder das Prozessieren im Ausland als grob unbillig empfunden wird (GION JEGHER, Abwehrmassnahmen gegen ausländische Prozesse, 2003, S. 93 ff.; KAUFMANN-KOHLER/RIGOZZI, a.a.O., Rz. 457a/b; LIATOWITSCH, a.a.O., S. 147; LIATOWITSCH/BERNET, a.a.O., S. 163). Anti-suit injunctions bzw. Prozessführungsverbote wurden vom EuGH in einer Vorabentscheidung aus dem Jahre 2004 als mit dem Brüsseler Übereinkommen (Übereinkommen vom 27. September 1968 über die gerichtliche Zuständigkeit und die Vollstreckung gerichtlicher Entscheidungen in Zivil- und Handelssachen; EuGVÜ) im Widerspruch stehend und damit unzulässig beurteilt, und zwar selbst für den Fall, dass die Partei, gegen die das Prozessführungsverbot ausgesprochen wird, mit der Prozesseinleitung beim anderen Gericht wider Treu und Glauben zu dem Zweck handelt, das bereits anhängige Verfahren zu behindern (Urteil des EuGH vom BGE 138 III 304 S. 313 27. April 2004 C-159/02 Turner c. Grovit , Slg. 2004 I-03565; vgl. dazu ACOCELLA, a.a.O., N. 30 ff. zu Vorbem. Art. 2 LugÜ ; STACHER, a.a.O., S. 69 f.; kritisch: FAVALLI/AUGSBURGER, a.a.O., N. 54 f. zu Art. 31 LugÜ sowie BERNHARD BERGER, in: Basler Kommentar, Lugano-Übereinkommen, 2011, N. 58 zu Art. 23 LugÜ ; s. ferner LAURENT KILLIAS, in: Lugano-Übereinkommen [LugÜ], Kommentar, Dasser/Oberhammer [Hrsg.], 2. Aufl. 2011, N. 155 zu Art. 23 LugÜ ).Der Gerichtshof erwog dazu, es sei wesentlicher Bestandteil des Grundsatzes des gegenseitigen Vertrauens zwischen den Vertragsstaaten, dass im Anwendungsbereich des Übereinkommens dessen Zuständigkeitsregeln, die allen Gerichten der Vertragsstaaten gemeinsam seien, von jedem dieser Gerichte mit gleicher Sachkenntnis ausgelegt und angewandt werden könnten. Das Übereinkommen gestatte - von begrenzten Ausnahmen abgesehen - die Prüfung der Zuständigkeit eines Gerichts durch das Gericht eines anderen Vertragsstaats nicht. Das von einem Gericht an eine Partei gerichtete Verbot, eine Klage bei einem ausländischen Gericht zu erheben oder ein dortiges Verfahren weiterzubetreiben, beeinträchtige dessen Zuständigkeit für die Entscheidung des Rechtsstreits (Ziffer 24 ff. des zit. Entscheids). Diese Rechtsprechung ist grundsätzlich auch von den schweizerischen Gerichten zu beachten, soweit im LugÜ geregelte Zuständigkeiten im Raum stehen ( BGE 135 III 185 E. 3.2; BGE 129 III 626 E. 5.2.1; je mit Hinweisen; zweifelnd: FAVALLI/AUGSBURGER, a.a.O., N. 55 zu Art. 31 LugÜ ). Zur Zulässigkeit des Erlasses von Prozessführungsverboten durch Schweizer Gerichte ausserhalb des Anwendungsbereichs des LugÜ hat sich das Bundesgericht noch nie geäussert. Die schweizerische Lehre steht einer solchen wohl überwiegend ablehnend gegenüber, da zivilrechtlichen und staatsrechtlichen Prinzipien widersprechend (SCHNYDER/LIATOWITSCH, a.a.O., Rz. 328; BERGER/KELLERHALS, a.a.O., Rz. 616; JEGHER, a.a.O., S. 103; STACHER, a.a.O., S. 77 f., inbesondere Rz. 56; differenzierend aber: OLIVIER LUC MOSIMANN, anti-suit injunctions in international arbitration, Den Haag 2010, S. 40 ff.; ANDREAS BUCHER, in: Commentaire romand, Loi sur le droit international privé - Convention de Lugano, 2011, N. 5 zu Art. 183 IPRG ; vgl. auch das Urteil des Tribunal de première instance des Kantons Genf vom 2. Mai 2004 E. C, in: Bulletin ASA 2005 S. 728 ff., in dem eine anti-suit injunction als mit der schweizerischen Rechtsordnung im Widerspruch stehend beurteilt wurde). Es wird BGE 138 III 304 S. 314 namentlich argumentiert, Prozessführungsverbote seien überflüssig, um dem Problem widersprechender Entscheide beizukommen. Die Grundsätze über die Litispendenz und die res iudicata sowie die Bestimmungen über die Anerkennung und Vollstreckung ausländischer Entscheidungen reichten dazu aus, so dass es an einem Rechtsschutzinteresse für die Anordnung von Prozessführungsverboten fehle, die dem Prinzip der Kompetenz-Kompetenz widersprächen; solche Massnahmen seien unter dem Gesichtspunkt der internationalen Rücksichtnahme (comity) problematisch und beinhalteten überdies ein Eskalationspotential. Es bestehe die Gefahr, dass das Zielgericht in der Folge seinerseits ein Wider-Prozessführungsverbot (anti-anti-suit injunction) ausspreche, womit den Parteien der Zugang zu beiden angerufenen Gerichten abgeschnitten würde, mit der Folge, dass nicht nur keine widersprechenden Urteile gesprochen würden, sondern gar keine (STACHER, a.a.O., S. 74 ff. insb. Rz. 42, 51, 57; JEGHER, a.a.O., S. 103; KAUFMANN-KOHLER/RIGOZZI, a.a.O., Rz. 458b; SCHYDER/LIATOWITSCH, a.a.O., Rz. 328).</w:t>
      </w:r>
    </w:p>
    <w:p>
      <w:r>
        <w:rPr>
          <w:b/>
        </w:rPr>
        <w:t>E. 5.3.2</w:t>
      </w:r>
    </w:p>
    <w:p>
      <w:r>
        <w:t>Vorliegend erübrigt sich eine Stellungnahme zur Zulässigkeit von Prozessführungsverboten der umschriebenen Art. Denn in den Klagebegehren Ziffern 3 und 4 kann kein Antrag um Erlass eines solchen, dem Prozessrecht zuzuordnenden Prozessführungsverbots erblickt werden und die Vorinstanz hat kein solches Prozessführungsverbot erlassen, soweit sie diese Begehren guthiess. Es liegt vorliegend namentlich kein Fall vor, in dem sich für einen bestimmten Streitgegenstand die Frage stellte, welches Gericht dafür die Zuständigkeit beanspruchen könne, oder in dem eine missbräuchliche Klageerhebung im Raum stand. Namentlich war und ist unumstritten, dass die Vorinstanz - gemäss der in der Abgrenzungsvereinbarung enthaltenen und nach dem vorliegend anwendbaren Art. 17 aLugÜ gültigen Gerichtsstandsklausel - ausschliesslich zur Beurteilung von Streitigkeiten im Zusammenhang mit der Abgrenzungsvereinbarung zuständig ist; es geht mit den ausgesprochenen Befehlen bzw. Verboten nicht darum, den Gerichtsstand bei der Vorinstanz abzusichern. Selbstredend geht es ebenso wenig um die Bestimmung von Zuständigkeiten für allfällige Widerspruchsverfahren. In der Abgrenzungsvereinbarung stimmte die Beschwerdeführerin dem weltweiten Gebrauch und weltweiten Registrierungen der Wort-/Bildmarke "Ice-Watch" in der Form gemäss Abgrenzungsvereinbarung durch die Beschwerdegegnerin zu. Sie ging mit anderen BGE 138 III 304 S. 315 Worten, wie auch die Vorinstanz unwidersprochen festhielt, die Verpflichtung ein, den Gebrauch und Registrierungen der Marke in der erwähnten Form zu dulden bzw. nicht zu behindern, d.h. alles zu unterlassen, was ihren Gebrauch und ihre Registrierung beeinträchtigen könnte, namentlich keine Einsprachen gegen Registrierungen zu erheben. Damit ging die Beschwerdeführerin eine vertragliche, dem materiellen Recht zuzuordnende Duldungs- bzw. Unterlassungsverpflichtung ein und schloss nicht eine prozessrechtliche Vereinbarung ab, über einen bestimmten Streitgegenstand, namentlich eine individuell bestimmte Markeneintragung in einem bestimmten Land keinen Prozess oder nur einen Prozess an einem bestimmten Ort einzuleiten. Es geht nicht um die Regelung der Zuständigkeit zur Beurteilung eines konkreten Markeneintragungsgesuchs, sondern um die generelle Verpflichtung der Beschwerdeführerin, jeglichen zukünftigen Markeneintragungsgesuchen in beliebigen Ländern, die je für sich einen eigenen Streitgegenstand bilden könnten, nicht zu opponieren, mithin um eine Unterlassungsverpflichtung, die dem materiellen Recht zuzuordnen ist (vgl. dazu CHRISTIAN KÖLZ, Die Zwangsvollstreckung von Unterlassungspflichten im schweizerischen Zivilprozessrecht, 2007, S. 11 Rz. 16; LUCAS DAVID, Markenschutzgesetz, Muster- und Modellgesetz, [nachfolgend: MSchG] 1999, N. 53 zu Art. 3 MSchG ). Damit liegt namentlich auch nicht die in der Literatur als Anwendungsfall von anti-suit injunctions genannte Konstellation vor, in der es um die Durchsetzung einer in einem Vergleich geschlossenen Vereinbarung ginge, über den bestimmten, verglichenen Streitgegenstand nicht mehr zu prozessieren (JEGHER, a.a.O., S. 93). Daran ändert nichts, dass die Abgrenzungsvereinbarung aus Anlass eines von der Beschwerdeführerin angestrengten Widerspruchsverfahrens abgeschlossen wurde, geht sie doch in ihrem Gehalt weit über die vergleichsweise Einigung über den konkreten Streitgegenstand bzw. den vereinbarten Rückzug des entsprechenden Widerspruchs hinaus. Die Beschwerdeführerin verzichtete damit generell, nicht bloss in einem bestimmten Verfahren, auf die Geltendmachung ihrer Prioritätsrechte gegenüber der Wort-/Bildmarke "Ice-Watch" gemäss Abgrenzungsvereinbarung. Überdies ist davon auszugehen, dass im Rahmen von inländischen und wohl auch von ausländischen Widerspruchsverfahren nur markenrechtliche, nicht aber vertragsrechtliche Ansprüche beurteilt werden können, wie sie vorliegend strittig sind, mithin zur Durchsetzung von vertraglichen Ansprüchen BGE 138 III 304 S. 316 ausschliesslich der Zivilprozess in Frage kommt (DAVID, a.a.O., N. 53 zu Art. 3 und N. 5 zu Art. 31 MSchG ; CHRISTOPH WILLI, MSchG, Kommentar, 2002, N. 15 zu Art. 31 MSchG ; GREGOR WILD, in: Markenschutzgesetz, Noth/Bühler/Thouvenin [Hrsg.], 2009, N. 9 zu Art. 31 MSchG ; vgl. auch BUTZ/GORDON, Die Übertragung von Abwehrbefugnissen als wirksameres Sicherungsmittel im Rahmen einer markenrechtlichen Abgrenzungsvereinbarung?, sic! 2003 S. 485 ff., 489; für Widerspruchsverfahren nach der Gemeinschaftsmarkenverordnung beim Harmonisierungsamt: HARTE-BAVENDAMM/VON BOMHARD, Abgrenzungsvereinbarungen und Gemeinschaftsmarken, GRUR 1998 S. 530 ff., 537 f.), für den die Parteien vorliegend den Gerichtsstand in Bern vereinbart haben. Eine Qualifikation der von der Vorinstanz an diesem Gerichtsstand erlassenen Anordnungen als (unzulässige) anti-suit injunctions würde demnach dazu führen, dass die Beschwerdegegnerin im Zusammenhang mit Widerspruchsverfahren jeglichen Mittels zur Durchsetzung ihrer Ansprüche aus der Abgrenzungsvereinbarung beraubt würde.</w:t>
      </w:r>
    </w:p>
    <w:p>
      <w:r>
        <w:rPr>
          <w:b/>
        </w:rPr>
        <w:t>E. 5.4</w:t>
      </w:r>
    </w:p>
    <w:p>
      <w:r>
        <w:t>Die Vorinstanz ist unbestrittenermassen international zuständig, über Ansprüche aus der Abgrenzungsvereinbarung, der die Parteien weltweite Geltung verliehen haben, zu entscheiden. Damit steht ihr nach einem allgemeinen Grundsatz des Bundesprivatrechts auch zu, Befehle und Verbote zu erlassen, die zur grenzüberschreitenden Durchsetzung von als zu Recht bestehend erkannten Unterlassungsansprüchen erforderlich sind, und für den Fall der Nichtbeachtung derselben strafrechtliche Sanktionen anzudrohen (vgl. dazu KÖLZ, a.a.O., S. 12 Rz. 16, S. 122 Rz. 142; vgl. ferner DAVID, a.a.O., N. 5 zu Art. 31 MSchG und HARTE-BAVENDAMM/VON BOMHARD, a.a.O., S. 538, wo von der Zulässigkeit einer entsprechenden Leistungsklage ausgegangen wird), soweit Letzteres in der anwendbaren Prozessordnung vorgesehen ist, was vorliegend nicht bestritten ist (vgl. dazu nunmehr Art. 236 Abs. 2, Art. 337 Abs. 1 und Art. 343 Abs. 1 lit. a der Schweizerischen ZPO [SR 272]). Würde dies verneint, drohte der Unterlassungsanspruch seines Inhalts entleert zu werden und müsste sich die Beschwerdegegnerin auf die Geltendmachung ihrer vertraglichen Rechte in unzähligen Verfahren in verschiedenen Ländern (soweit überhaupt zulässig [vgl. vorstehende E. 5.3.2 in fine]), und allenfalls auf die Erhebung von Schadenersatzansprüchen wegen Vertragsverletzung beschränken. Der Vorinstanz ist damit weder ein Verstoss gegen Bundesrecht noch gegen Staatsvertragsrecht vorzuwerfen, weil sie auf die Rechtsbegehren Ziffern 3 und 4 eintrat. Die Rüge ist unbegründet. BGE 138 III 304 S. 317</w:t>
      </w:r>
    </w:p>
    <w:p>
      <w:r>
        <w:rPr>
          <w:b/>
        </w:rPr>
        <w:t>E. 6</w:t>
      </w:r>
    </w:p>
    <w:p>
      <w:r>
        <w:t>Mit dem streitbetroffenen Vertrag verpflichtete sich die Beschwerdegegnerin u.a., ihre Marke "Ice-Watch" nur in bestimmter Form bzw. grafischer Ausgestaltung, d.h. mittels Darstellung der Worte "Ice" und "Watch" auf zwei separaten Zeilen, in Registern eintragen zu lassen (Ziff. 5) und abgesehen von im Einzelnen umschriebenen Ausnahmen in entsprechender Form bzw. Ausgestaltung zu benutzen (Ziff. 4 und 8). Daraufhin gab die Beschwerdeführerin ihre Zustimmung zum entsprechenden Gebrauch und entsprechenden Registrierungen der Wort-/Bildmarke "Ice-Watch" (Ziff. 6). Es ist unbestritten und zutreffend, dass die Parteien damit eine sog. Abgrenzungsvereinbarung getroffen haben, mit der typischerweise der Inhaber der älteren Marke auf eine vollumfängliche Durchsetzung seines Ausschliesslichkeitsanspruchs verzichtet und der Inhaber der jüngeren Marke ihm im Gegenzug garantiert, dass er dieselbe nie ausserhalb des vereinbarten Einsatzbereichs bzw. ausschliesslich auf die vereinbarte Art und Weise verwenden wird, regelmässig verbunden mit der Zusicherung, gestützt auf das jüngere Zeichen keine Abwandlungen oder Neuanmeldungen der älteren Marke anzugreifen (sog. Vorrechtserklärung; vgl. Ziffer 3 der vorliegend strittigen Vereinbarung). Ausgangssituation für eine solche Vereinbarung ist ein rechtlicher Konflikt zwischen markenrechtlichen Schutz beanspruchenden Kennzeichen, die identisch oder zumindest verwechslungsfähig sind (vgl. Art. 3 Abs. 1 MSchG [SR 232.11]). Die Parteien grenzen damit die Einsatzbereiche ihrer Marken ab und verpflichten sich regelmässig, die Marke des Vertragspartners in deren vertraglich festgelegtem Einsatzbereich nicht zu behindern. Damit ist regelmässig beiden Parteien gedient. Der Inhaber des jüngeren Zeichens kann sein Zeichen zumindest wie vereinbart benützen, während der Inhaber der älteren Marke den Kernbereich seines Zeichens frei halten kann, ohne sich in eine vielleicht unsichere Auseinandersetzung einlassen zu müssen. Es handelt sich bei solchen Verträgen um synallagmatische Innominatkontrakte, die durch eine stark vergleichs- und verzichtsähnliche Struktur charakterisiert sind. Sie sind auf eine endgültige und dauerhafte Beilegung eines bestehenden oder zumindest nicht auszuschliessenden Konflikts ausgerichtet und müssen, um diesen Zweck zu erfüllen, grundsätzlich unkündbar sein; nur so kann das Wiederaufflammen des Konflikts verhindert werden (EUGEN MARBACH, Markenrecht, SIWR Bd. III/1, 2. Aufl. 2009, Rz. 714 ff. mit Hinweis auf ein Urteil des Handelsgerichts des Kantons Zürich vom 19. Juni 1980, in: SMI 1980 S. 139 ff., 150; BGE 138 III 304 S. 318 GALLUS JOLLER, in: Markenschutzgesetz, Noth/Bühler/Thouvenin [Hrsg.], 2009, N. 358 ff. zu Art. 3 MSchG ; YVAN CHERPILLOD, Le droit suisse des marques [nachfolgend: Droit], 2007, S. 142; LUCAS DAVID, Lexikon des Immaterialgüterrechts [nachfolgend: Lexikon], SIWR Bd. I/3, 2005, S. 2 f.; WILLI, a.a.O., N. 15 f. zu Art. 55 MSchG ; CLAUDIA MARADAN, Les accords de coexistence en matière de marques, 1994, S. 46 ff.; HANS NEUBAUER, Markenrechtliche Abgrenzungsvereinbarung aus rechtsvergleichender Sicht, Berlin 1983, S. 7 ff., 75 ff.; BUTZ/GORDON, a.a.O., S. 486; KARL-HEINZ FEZER, Markenrecht, 4. Aufl., München 2009, N. 1088 ff. zu § 14 MarkenG). Die Zulässigkeit von Abgrenzungsvereinbarungen unter dem geltenden MSchG vom 28. August 1992 wird in der schweizerischen Lehre einhellig bejaht, namentlich auch unter dem Gesichtswinkel von Art. 27 ZGB (s. die vorstehend zitierten Autoren; vgl. aber BGE 99 II 104 E. 5d S. 114, der unter dem nicht mehr geltenden Bundesgesetz vom 26. September 1890 betreffend den Schutz der Fabrik- und Handelsmarken, der Herkunftsbezeichnungen von Waren und der gewerblichen Auszeichnungen [aMSchG] erging; vgl. auch JOLLER, a.a.O., N. 362 zu Art. 3 MSchG , DAVID, Lexikon, a.a.O., S. 3 und CHERPILLOD, Droit, a.a.O., S. 143 f., die darauf hinweisen, dass Abgrenzungsvereinbarungen wettbewerbsrechtlich problematisch sein können). Mit einer Abgrenzungsvereinbarung werden nach dem Ausgeführten im Wesentlichen dauernde Unterlassungspflichten statuiert, die sich immerhin im Bereich des Inhabers des jüngeren Zeichens insoweit als Pflicht zu einem Tun auswirken, als dieser innerhalb seiner Organisation dauerhaft zu überwachen hat, dass der Gebrauch seiner Marke sich innerhalb der Grenzen der Vereinbarung hält. Vorliegend kann offenbleiben, ob es sich dabei um ein eigentliches Dauerschuldverhältnis handelt, in dem sich die typische Hauptleistungspflicht des Vertrags als Dauerschuld qualifiziert ( BGE 128 III 428 E. 3b S. 430), die ein fortdauerndes oder wiederholtes Leistungsverhalten verlangt, solange die Schuld besteht (4A_141/2007 vom 20. August 2007 E. 4.1; PETER GAUCH, System der Beendigung von Dauerverträgen [nachfolgend: Beendigung], 1968, S. 5 ff.; GAUCH/SCHLUEP/SCHMID/REY, Schweizerisches Obligationenrecht, Allgemeiner Teil, 9. Aufl. 2008, Nr. 94 und 263; vgl. auch IVAN CHERPILLOD, La fin des contrats de durée [nachfolgend: Contrats], 1988, S. 11 ff.), oder bloss um ein Schuldverhältnis, das wie ein Dauerschuldverhältnis wirkt, wie die Vorinstanz mit Hinweis auf CHERPILLOD BGE 138 III 304 S. 319 (Droit, a.a.O., S. 142) und MARADAN (a.a.O., S. 59 ff.) angenommen hat. Die Vorinstanz hat jedenfalls zutreffend erkannt und es ist unbestritten, dass auf einen entsprechenden Vertrag mit dauerhafter Wirkung die allgemeinen Regeln über die Auflösung von Dauerschuldverhältnissen anzuwenden sind (vgl. dazu CHERPILLOD, Contrats, a.a.O., S. 13 Rz. 6), mithin auch die Regeln über die Auflösung eines Dauerschuldverhältnisses aus wichtigem Grund (vgl. dazu MARADAN, a.a.O., S. 139 ff.; CHERPILLOD, Droit, a.a.O., S. 143; NEUBAUER, a.a.O., S. 209 Fn. 1000 m.H. auf Handelsgericht des Kantons Zürich, a.a.O., in: SMI 1980 S. 149).</w:t>
      </w:r>
    </w:p>
    <w:p>
      <w:r>
        <w:rPr>
          <w:b/>
        </w:rPr>
        <w:t>E. 7</w:t>
      </w:r>
    </w:p>
    <w:p>
      <w:r>
        <w:t>Es entspricht einem allgemeinen Grundsatz, dass Dauerschuldverhältnisse von einer Partei bei Vorliegen von wichtigen Gründen, welche die Vertragserfüllung für sie unzumutbar machen, vorzeitig gekündigt werden können ( BGE 128 III 428 E. 3 S. 429 f.; BGE 122 III 262 E. 2a/aa S. 265 f.). Ein wichtiger Grund zur Auflösung eines Dauerschuldverhältnisses liegt nach der Rechtsprechung vor, wenn die Bindung an den Vertrag für die Partei wegen veränderter Umstände ganz allgemein unzumutbar geworden ist, also nicht nur unter wirtschaftlichen, sondern auch unter anderen die Persönlichkeit berührenden Gesichtspunkten ( BGE 128 III 428 E. 3c S. 432). Bei Vorliegen eines wichtigen Grundes, nach dem einer Partei eine Weiterführung des Vertrags nicht mehr zugemutet werden kann, besteht ohne weiteres ein Recht dieser Partei auf eine sofortige Auflösung eines Dauervertrages. Es muss ihr unter dieser Voraussetzung möglich sein, sich vom Vertrag zu lösen (Urteil 4A_148/2011 vom 8. September 2011 E. 4.3.1). Bei besonders schweren Vertragsverletzungen ist ein wichtiger Grund regelmässig zu bejahen. Auch weniger gravierende Vertragsverletzungen können aber eine Fortsetzung des Vertrags für die Gegenpartei unzumutbar machen, wenn sie trotz Verwarnung oder Abmahnung immer wieder vorgekommen sind, so dass nicht zu erwarten ist, weitere Verwarnungen würden den Vertragspartner von neuen Vertragsverletzungen abhalten (vgl. z.B. BGE 127 III 153 E. 1a S. 155; BGE 117 II 560 E. 3b S. 562). Im vorliegenden Fall ist der strittigen Kündigung keine Verwarnung vorangegangen, so dass nur zu prüfen ist, ob der von der Vorinstanz festgestellte Gebrauch des Zeichens "ice-watch" durch die Beschwerdegegnerin bis zur Kündigung, soweit er der Abgrenzungsvereinbarung widerspricht, so schwer wiegt, dass der Beschwerdeführerin die Weiterführung des Vertrags objektiv nicht mehr zumutbar war und sie zur Vertragsbeendigung mit sofortiger Wirkung berechtigt war. BGE 138 III 304 S. 320 Entgegen der Ansicht der Vorinstanz, welche die Beschwerdeführerin zu Recht rügt, darf das Recht auf Kündigung bei Vorliegen eines wichtigen Grundes nicht von der weiteren Voraussetzung abhängig gemacht werden, dass die kündigende Partei zuvor eine Frist zur Behebung des vertragswidrigen Zustands bzw. zur Vertragserfüllung im Sinne von Art. 107 OR ansetzt. Bei Vorliegen eines wichtigen Grundes besteht die Möglichkeit zu einer sofortigen Vertragsauflösung vielmehr unabhängig von einem - im vorliegenden Fall nicht erfolgten - Vorgehen nach Art. 107 ff. OR , und nicht bloss als subsidiäre Möglichkeit, wie die Vorinstanz zu Unrecht angenommen hat ( BGE 92 II 299 E. 3b S. 300; Urteil 4C.35/1988 vom 11. April 1989 E. 3, nicht publ. in: BGE 115 II 1 ; MARIE-NOËLLE VENTURI-ZEN-RUFFINEN, La résiliation pour justes motifs des contrats de durée, 2007, S. 85 Rz. 243 mit Hinweisen; GAUCH, Beendigung, a.a.O., S. 150, 195 f.; CHERPILLOD, Contrats, S. 140 Rz. 269 f.). Allerdings trifft es nicht zu, dass die Vorinstanz aufgrund ihrer unzutreffenden Annahme, es wäre ein Vorgehen nach Art. 107 ff. OR erforderlich gewesen, überhöhte Anforderungen an das Vorliegen eines wichtigen Grundes gestellt hätte, wie die Beschwerdeführerin weiter geltend macht. So prüfte die Vorinstanz im angefochtenen Entscheid selbständig, ob die von ihr (zu Recht) für eine sofortige Vertragsauflösung aus wichtigem Grund aufgestellte (erste) Voraussetzung gegeben sei, d.h. ob Vertragsverletzungen vorliegen, die so schwerwiegend sind, dass der Beschwerdeführerin eine Fortsetzung des Vertragsverhältnisses unzumutbar ist, und die mithin eine Auflösung aus wichtigem Grund (ohne vorherige Abmahnung bzw. Fristansetzung zur Vertragserfüllung) rechtfertigen. Dies verneinte sie nach eingehender Würdigung der zu berücksichtigenden Vertragsverletzungen. Allein gestützt darauf durfte sie die Wirksamkeit der strittigen Kündigung verneinen, vorausgesetzt, ihre Würdigung sei bundesrechtskonform, was nachfolgend zu prüfen ist. (...)</w:t>
      </w:r>
    </w:p>
    <w:p>
      <w:r>
        <w:rPr>
          <w:b/>
        </w:rPr>
        <w:t>E. 11</w:t>
      </w:r>
    </w:p>
    <w:p>
      <w:r>
        <w:t>Die Beschwerdeführerin vertritt die Auffassung, die Vorinstanz habe Bundesrecht verletzt, indem sie die Kündigung für den Fall des Fehlens von wichtigen Gründen nicht in eine ordentliche Kündigung umgedeutet und eine angemessene Frist von sechs bis zwölf Monaten festgelegt habe, nach der die Abgrenzungsvereinbarung als aufgelöst hätte betrachtet werden müssen. Eine markenrechtliche Abgrenzungsvereinbarung sei nicht unkündbar; die in der Lehre BGE 138 III 304 S. 321 vertretene gegenteilige Meinung trage der Rechtsnatur einer solchen Vereinbarung nicht genügend Rechnung. Auch diese Rüge verfängt nicht: Zunächst kann eine unwirksame ausserordentliche Kündigung nach der bundesgerichtlichen Rechtsprechung nicht in eine ordentliche Kündigung konvertiert werden, es sei denn, die Kündigung sei bloss irrtümlich als ausserordentliche Kündigung bezeichnet worden ( Art. 18 OR ), was hier indessen nicht geltend gemacht wird (vgl. BGE 135 III 441 E. 3.1. S. 442 und E. 3.3 S. 444 f.). Unabhängig davon ist eine Abgrenzungsvereinbarung, wie bereits dargelegt wurde (E. 6 vorne), ihrem Wesen nach unkündbar, andernfalls sie ihren Zweck einer endgültigen und dauernden Beilegung eines bestehenden oder zumindest nicht auszuschliessenden Konflikts nicht erreichen könnte. Dies entspricht der einhelligen Lehre und wird namentlich auch unter dem Gesichtswinkel einer übermässigen Bindung im Sinne von Art. 27 ZGB als unproblematisch betrachtet (vgl. WILLI, a.a.O., N. 16 zu Art. 55 MSchG ; MARBACH, a.a.O., Rz. 717; JOLLER, a.a.O., N. 361 zu Art. 3 MSchG ; CHERPILLOD, Droit, a.a.O., S. 143; MARADAN, a.a.O., S. 124; vgl. auch Handelsgericht des Kantons Zürich, in: SMI 1980 S. 150). Entgegen der Auffassung der Beschwerdeführerin gilt die Unkündbarkeit dabei umfassend und beschränkt sich nicht bloss auf den Teil des Vertrags, mit dem ein bereits entstandener Kennzeichenkonflikt beigelegt wird. Dem steht der Vergleichscharakter einer Abgrenzungsvereinbarung nicht entgegen, kann ein Vergleich doch nicht nur einen bestehenden oder unmittelbar bevorstehenden Konflikt beilegen, sondern auch dazu dienen, eine Ungewissheit über ein bestehendes Rechtsverhältnis durch gegenseitige Zugeständnisse vertraglich zu beseitigen ( BGE 95 II 419 E. 2b S. 423 f.; SCHLUEP, Innominatverträge, in: SPR Bd. VII/2, 1979, S. 945). Auch geht die Beschwerdeführerin fehl, wenn sie den Teil einer Abgrenzungsvereinbarung, mit dem über eine bestehende Streitigkeit hinaus der zukünftige Gebrauch des jüngeren Kennzeichens geregelt wird, als Lizenzvertrag qualifizieren will, in dem der Inhaber des älteren Zeichens dem Inhaber des jüngeren Zeichens ohne Gegenleistung die Befugnis einräume, dieses zu gebrauchen, und gestützt darauf die Regeln über die ordentliche Auflösung von Lizenzverträgen zur Anwendung gebracht sehen will. Eine Markenabgrenzungsvereinbarung unterscheidet sich grundlegend von einem Markenlizenzvertrag, indem im Rahmen einer solchen Vereinbarung jede Partei ihr eigenes Markenrecht behält und ihre eigene Marke führt. Ein Lizenzvertrag hat die BGE 138 III 304 S. 322 Befugnis zur Nutzung einer einzigen Marke, derjenigen des Lizenzgebers zum Gegenstand, während eine Abgrenzungsvereinbarung eine Verwechslungsgefahr und daraus erwachsende Konflikte zwischen zwei unterschiedlichen und voneinander unabhängigen Markenrechten bannen bzw. beseitigen will; der Inhaber der älteren Marke räumt damit dem Inhaber der jüngeren Marke nicht das Recht ein, seine, die ältere Marke zu nutzen, sondern verpflichtet sich bloss, die jüngere Marke nicht gestützt auf sein Prioritätsrecht anzufechten, d.h. seine Abwehrrechte gegenüber dieser geltend zu machen (MARBACH, a.a.O., Rz. 716; DAVID, Lexikon, a.a.O., S. 208; MARADAN, a.a.O., S. 48 ff.; BUTZ/GORDON, a.a.O., S. 489; vgl. auch FEZER, a.a.O., N. 1090 zu § 14 MarkenG; NEUBAUER, a.a.O., S. 11 ff.). Wie bereits ausgeführt (E. 6.1), ist eine Markenabgrenzungsvereinbarung sodann ein synallagmatischer Vertrag, der regelmässig beiden Parteien dient. Auch dem Argument, die Beschwerdeführerin müsse sich vom Vertrag lösen können, da sie der Beschwerdegegnerin ohne Gegenleistung eine Befugnis eingeräumt habe, kann daher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