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217</w:t>
      </w:r>
    </w:p>
    <w:p>
      <w:r>
        <w:t>Bundesgericht (BGE), 2012-02-24, DE</w:t>
      </w:r>
    </w:p>
    <w:p>
      <w:r>
        <w:rPr>
          <w:b/>
        </w:rPr>
        <w:t xml:space="preserve">Quelle: </w:t>
      </w:r>
      <w:r>
        <w:t>https://mcp.opencaselaw.ch/entscheid/bge_BGE_138_III_217</w:t>
      </w:r>
    </w:p>
    <w:p>
      <w:r>
        <w:t>FR: ATF 138 III 217</w:t>
      </w:r>
    </w:p>
    <w:p>
      <w:r>
        <w:t>IT: DTF 138 III 217</w:t>
      </w:r>
    </w:p>
    <w:p>
      <w:pPr>
        <w:pStyle w:val="Heading2"/>
      </w:pPr>
      <w:r>
        <w:t>Regeste</w:t>
      </w:r>
    </w:p>
    <w:p>
      <w:r>
        <w:t>Regeste Art. 117 ff. ZPO; Art. 29 Abs. 3 BV; Rechtsgrundlage des Anspruchs auf unentgeltliche Rechtspflege und Verbeiständung. Verhältnis von Art. 117 ff. ZPO und Art. 29 Abs. 3 BV; Bedeutung der vom Bundesgericht zum Begriff der Aussichtslosigkeit gemäss Art. 29 Abs. 3 BV entwickelten Praxis für die Auslegung von Art. 117 lit. b ZPO (E. 2.2).</w:t>
      </w:r>
    </w:p>
    <w:p>
      <w:r>
        <w:t>Regeste Art. 117 ss CPC; art. 29 al. 3 Cst.; fondement juridique du droit à l'assistance judiciaire et à un avocat d'office. Rapport entre les art. 117 ss CPC et l'art. 29 al. 3 Cst.; portée, pour l'interprétation de l'art. 117 let. b CPC, de la jurisprudence développée par le Tribunal fédéral au sujet de la notion d'absence de chances de succès dans le cadre de l'art. 29 al. 3 Cst. (consid. 2.2).</w:t>
      </w:r>
    </w:p>
    <w:p>
      <w:r>
        <w:t>Regesto Art. 117 segg. CPC; art. 29 cpv. 3 Cost.; base legale del diritto all'assistenza giudiziaria ed al gratuito patrocinio. Relazione tra gli art. 117 segg. CPC e l'art. 29 cpv. 3 Cost.; portata della giurisprudenza sviluppata dal Tribunale federale in merito alla nozione di assenza di probabilità di successo ai sensi dell'art. 29 cpv. 3 Cost. per l'interpretazione dell'art. 117 lett. b CPC (consid. 2.2).</w:t>
      </w:r>
    </w:p>
    <w:p>
      <w:pPr>
        <w:pStyle w:val="Heading2"/>
      </w:pPr>
      <w:r>
        <w:t>Erwägungen</w:t>
      </w:r>
    </w:p>
    <w:p>
      <w:r>
        <w:rPr>
          <w:b/>
        </w:rPr>
        <w:t>E. 2.2.1</w:t>
      </w:r>
    </w:p>
    <w:p>
      <w:r>
        <w:t>Der Beschwerdeführer macht vor Bundesgericht eine Verletzung von Art. 117 ZPO (SR 272) und Art. 29 Abs. 3 BV geltend.</w:t>
      </w:r>
    </w:p>
    <w:p>
      <w:r>
        <w:rPr>
          <w:b/>
        </w:rPr>
        <w:t>E. 2.2.2</w:t>
      </w:r>
    </w:p>
    <w:p>
      <w:r>
        <w:t>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BGE 138 III 217 S. 218</w:t>
      </w:r>
    </w:p>
    <w:p>
      <w:r>
        <w:rPr>
          <w:b/>
        </w:rPr>
        <w:t>E. 2.2.3</w:t>
      </w:r>
    </w:p>
    <w:p>
      <w:r>
        <w:t>Mit Art. 117 ff. ZPO wird der als verfassungsrechtliche Minimalgarantie in Art. 29 Abs. 3 BV verankerte Anspruch auf unentgeltliche Rechtspflege und Verbeiständung auf Gesetzesstufe geregelt. Im Anwendungsbereich der Zivilprozessordnung sind damit seit dem 1. Januar 2011 Art. 117 ff. ZPO massgebend (Botschaft vom 28. Juni 2006 zur ZPO, BBl 2006 7301 Ziff. 5.8.4; TAPPY, in: CPC, Code de procédure civile commenté, 2011, N. 4 zu Art. 117 ZPO ; STAEHELIN UND ANDERE, Zivilprozessrecht, 2008, § 16 N. 51; MEICHSSNER, Das Grundrecht auf unentgeltliche Rechtspflege, 2008, S. 25 ff., insb. Fn. 175). Der vom Beschwerdeführer erhobene Einwand der Verletzung seines Anspruchs auf unentgeltliche Rechtspflege und Verbeiständung ist demnach vorliegend im Lichte von Art. 117 ff. ZPO zu behandeln.</w:t>
      </w:r>
    </w:p>
    <w:p>
      <w:r>
        <w:rPr>
          <w:b/>
        </w:rPr>
        <w:t>E. 2.2.4</w:t>
      </w:r>
    </w:p>
    <w:p>
      <w:r>
        <w:t>Die vom Bundesgericht zum Begriff der Aussichtslosigkeit gemäss Art. 29 Abs. 3 BV entwickelte Praxis ist auch für die Auslegung von Art. 117 lit. b ZPO zu berücksichtigen (vgl. Urteil 5A_711/2011 vom 21. Dezember 2011 E. 3.1). Als aussichtslos sind demnach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