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190</w:t>
      </w:r>
    </w:p>
    <w:p>
      <w:r>
        <w:t>Bundesgericht (BGE), 2012-03-09, FR</w:t>
      </w:r>
    </w:p>
    <w:p>
      <w:r>
        <w:rPr>
          <w:b/>
        </w:rPr>
        <w:t xml:space="preserve">Quelle: </w:t>
      </w:r>
      <w:r>
        <w:t>https://mcp.opencaselaw.ch/entscheid/bge_BGE_138_III_190</w:t>
      </w:r>
    </w:p>
    <w:p>
      <w:r>
        <w:t>FR: ATF 138 III 190</w:t>
      </w:r>
    </w:p>
    <w:p>
      <w:r>
        <w:t>IT: DTF 138 III 190</w:t>
      </w:r>
    </w:p>
    <w:p>
      <w:pPr>
        <w:pStyle w:val="Heading2"/>
      </w:pPr>
      <w:r>
        <w:t>Regeste</w:t>
      </w:r>
    </w:p>
    <w:p>
      <w:r>
        <w:t>Regeste Art. 36 Abs. 1 GestG; Art. 92 Abs. 1 und Art. 93 Abs. 1 lit. a BGG; Zwischenentscheid über die Sistierung des Verfahrens. Bei der auf Art. 36 Abs. 1 GestG gestützten Anordnung der Sistierung des Verfahrens bis zum Entscheid über eine in einem sachlichen Zusammenhang stehende Klage, die bereits bei einem anderem Gericht rechtshängig gemacht worden ist, handelt es sich nicht um einen Entscheid über die Zuständigkeit im Sinne von Art. 92 Abs. 1 BGG (E. 5). Der Sistierungsentscheid kann auch dann selbständig angefochten werden, wenn er keinen nicht wieder gutzumachenden Nachteil nach Art. 93 Abs. 1 lit. a BGG bewirkt, falls die beschwerdeführende Partei geltend macht, die Sistierung führe zu einer Verletzung des Beschleunigungsgebots und dieses Vorbringen hinreichend begründet wird (E. 6).</w:t>
      </w:r>
    </w:p>
    <w:p>
      <w:r>
        <w:t>Regeste Art. 36 al. 1 LFors; art. 92 al. 1 et art. 93 al. 1 let. a LTF; décision incidente ordonnant la suspension de la cause. La décision de suspendre la cause jusqu'à droit connu sur une action connexe déjà introduite devant un autre tribunal, fondée sur l'art. 36 al. 1 LFors, n'est pas une décision portant sur la compétence aux termes de l'art. 92 al. 1 LTF (consid. 5). La décision de suspendre la cause peut être attaquée séparément même s'il n'en résultera pas de préjudice irréparable selon l'art. 93 al. 1 let. a LTF, lorsque la partie recourante fait valoir que la suspension entraînera une violation du principe de la célérité et que ce moyen est suffisamment motivé (consid. 6).</w:t>
      </w:r>
    </w:p>
    <w:p>
      <w:r>
        <w:t>Regesto Art. 36 cpv. 1 LForo; art. 92 cpv. 1 e art. 93 cpv. 1 lett. a LTF; decisione incidentale che ordina la sospensione della causa. La decisione, fondata sull'art. 36 cpv. 1 LForo, di sospendere la causa fino al giudizio di un'azione connessa già introdotta innanzi a un altro tribunale non è una decisione concernente la competenza nel senso dell'art. 92 cpv. 1 LTF (consid. 5). La decisione di sospendere la causa può essere impugnata separatamente anche se non ne risulterà un pregiudizio irreparabile secondo l'art. 93 cpv. 1 lett. a LTF, qualora la parte ricorrente faccia valere che la sospensione provoca una violazione del principio della celerità e questa censura sia sufficientemente motivata (consid. 6).</w:t>
      </w:r>
    </w:p>
    <w:p>
      <w:pPr>
        <w:pStyle w:val="Heading2"/>
      </w:pPr>
      <w:r>
        <w:t>Erwägungen</w:t>
      </w:r>
    </w:p>
    <w:p>
      <w:r>
        <w:rPr>
          <w:b/>
        </w:rPr>
        <w:t>E. 1</w:t>
      </w:r>
    </w:p>
    <w:p>
      <w:r>
        <w:t>(Le Tribunal de première instance genevois a ordonné la suspension de la cause jusqu'à droit connu sur une action pendante devant un tribunal vaudois. La Cour de justice a confirmé cette décision.) (...)</w:t>
      </w:r>
    </w:p>
    <w:p>
      <w:r>
        <w:rPr>
          <w:b/>
        </w:rPr>
        <w:t>E. 5</w:t>
      </w:r>
    </w:p>
    <w:p>
      <w:r>
        <w:t>L' art. 92 al. 1 LTF prévoit que les décisions incidentes relatives à la compétence peuvent être attaquées séparément de la décision finale. Selon la jurisprudence, une décision de suspension fondée sur l'art. 21 al. 1 aCL (RO 1991 2436) s'apparente étroitement à une décision en matière de compétence et elle est donc susceptible du recours indépendant prévu par l' art. 92 al. 1 LTF ( ATF 123 III 414 consid. 2 p. 417; arrêt 4A_538/2010 du 20 décembre 2010 consid. 1.1). Une décision de dessaisissement fondée sur l' art. 36 al. 2 LFors (RO 2000 2355) se rapporte elle aussi à la compétence du juge saisi et elle est donc susceptible du même recours ( ATF 132 III 178 consid. 1.2 p. 181). En revanche, une décision de suspension de l'instance fondée sur l' art. 36 al. 1 LFors , seulement destinée à prévenir des décisions ou solutions divergentes sur des questions de fait ou de droit connexes (YVES DONZALLAZ, Commentaire de la loi fédérale sur les fors en matière civile, 2001, n° 2 ad art. 36 LFors ), n'anticipe pas un éventuel refus d'entrer en matière ni un dessaisissement en faveur d'un autre for; la compétence n'est donc pas en cause et le recours prévu par l' art. 92 al. 1 LTF n'est pas ouvert. Le Tribunal fédéral a certes jugé que toutes les décisions fondées sur les art. 35 ou 36 LFors sont globalement susceptibles de ce recours (arrêt 4P.302/2006 du 16 février 2007 consid. 3.2, in RSPC 2007 p. 245), mais il s'agissait d'un cas où la décision attaquée ne précisait pas si la suspension réclamée par l'une des parties devait être fondée, le cas échéant, sur l'art. 35 al. 1 ou sur l' art. 36 al. 1 LFors . Ce précédent n'est donc pas concluant en ce qui concerne cette dernière disposition, seule déterminante dans la présente contestation, et il n'y a pas lieu de le confirmer.</w:t>
      </w:r>
    </w:p>
    <w:p>
      <w:r>
        <w:rPr>
          <w:b/>
        </w:rPr>
        <w:t>E. 6</w:t>
      </w:r>
    </w:p>
    <w:p>
      <w:r>
        <w:t>L' art. 93 al. 1 let. a LTF prévoit que les décisions incidentes propres à causer un préjudice irréparable peuvent elles aussi être attaquées séparément de la décision finale. Selon la jurisprudence, l'exigence d'un préjudice irréparable n'est pas opposable à la partie recourante lorsque celle-ci expose et rend BGE 138 III 190 S. 192 vraisemblable que l'ordonnance de suspension qu'elle conteste entraînera une violation du principe de la célérité, c'est-à-dire du droit de tout justiciable à ce que sa cause soit jugée dans un délai raisonnable, garanti par l' art. 29 al. 1 Cst. ( ATF 134 IV 43 consid. 2.5 p. 47). En l'occurrence, la demanderesse se réfère au principe de la célérité, toutefois sans tenter de démontrer que, compte tenu de la nature du procès concerné, la suspension litigieuse risque réellement de différer le jugement final au-delà de ce qui est raisonnable. Ce moyen est insuffisamment motivé, de sorte que le recours n'échappe pas à l'exigence précitée (arrêt 4A_542/2009 du 27 avril 2010 consid. 4.2).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134 III 188 consid. 2.2 p. 191; ATF 133 III 629 consid. 2.3.1 p. 632; ATF 131 I 57 consid. 1 p. 59). La demanderesse fait seulement valoir que la suspension "[l'empêchera] pour longtemps de faire valoir ses droits", sans faire état d'aucune autre sorte de préjudice; elle ne se plaint donc pas d'un inconvénient pertinent au regard de l' art. 93 al. 1 let. a LTF . Il s'ensuit que le recours en matière civile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