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182</w:t>
      </w:r>
    </w:p>
    <w:p>
      <w:r>
        <w:t>Bundesgericht (BGE), 2012-02-16, FR</w:t>
      </w:r>
    </w:p>
    <w:p>
      <w:r>
        <w:rPr>
          <w:b/>
        </w:rPr>
        <w:t xml:space="preserve">Quelle: </w:t>
      </w:r>
      <w:r>
        <w:t>https://mcp.opencaselaw.ch/entscheid/bge_BGE_138_III_182</w:t>
      </w:r>
    </w:p>
    <w:p>
      <w:r>
        <w:t>FR: ATF 138 III 182</w:t>
      </w:r>
    </w:p>
    <w:p>
      <w:r>
        <w:t>IT: DTF 138 III 182</w:t>
      </w:r>
    </w:p>
    <w:p>
      <w:pPr>
        <w:pStyle w:val="Heading2"/>
      </w:pPr>
      <w:r>
        <w:t>Regeste</w:t>
      </w:r>
    </w:p>
    <w:p>
      <w:r>
        <w:t>Regeste Rechtsöffnung in einer Mehrheit von Betreibungen auf Verwertung von Grundpfändern, welche für die gleiche Forderung haften; Aufteilung der Belastung (Art. 82 SchKG; Art. 798 und 816 Abs. 3 ZGB). Abgesehen vom hier nicht gegebenen Fall des Gesamtpfandes, wo jedes Grundstück für die gesamte Forderung haftet, beinhaltet die Verpfändung mehrerer Grundstücke für eine einzige Forderung, wenn nichts anderes vereinbart ist, eine verhältnismässige Aufteilung der Belastung auf die verschiedenen Grundstücke. Wird der Entscheid über die Aufteilung bereits im Stadium der Rechtsöffnung getroffen, so ist nur die Art der Aufteilung endgültig festgesetzt, jedoch nicht der betragsmässige Umfang der Sicherung. Verletzung von Art. 798 Abs. 3 ZGB durch einen kantonalen Entscheid, der sich nicht auf die verhältnismässige Aufteilung, sondern auf die Reihenfolge in einer Rahmenkreditvereinbarung stützt (E. 4).</w:t>
      </w:r>
    </w:p>
    <w:p>
      <w:r>
        <w:t>Regeste Mainlevée d'opposition dans une pluralité de poursuites en réalisation de gages immobiliers garantissant une même créance; répartition de la garantie (art. 82 LP; art. 798 et 816 al. 3 CC). Hormis le cas, non réalisé en l'occurrence, du gage collectif où chaque immeuble garantit la totalité de la créance, la mise en gage de plusieurs immeubles pour garantir une seule créance implique, sauf convention contraire, une répartition proportionnelle de la garantie sur les divers immeubles. La décision prise à ce sujet déjà au stade de la mainlevée d'opposition ne peut avoir de portée définitive que quant au mode de répartition, non quant aux montants. Violation de l'art. 798 al. 3 CC par une décision cantonale qui se fonde, non sur le mode de la répartition proportionnelle, mais sur l'ordre figurant dans une convention de crédit-cadre (consid. 4).</w:t>
      </w:r>
    </w:p>
    <w:p>
      <w:r>
        <w:t>Regesto Rigetto dell'opposizione in una pluralità di esecuzioni in via di realizzazione di pegni immobiliari che garantiscono un medesimo credito; ripartizione dell'onere (art. 82 LEF; art. 798 e 816 cpv. 3 CC). Eccettuato il caso, non realizzato in concreto, del pegno collettivo nel quale ogni fondo garantisce la totalità del credito, la costituzione in pegno di più fondi per garantire un solo credito implica, salvo convenzione contraria, una ripartizione proporzionale dell'onere sui diversi fondi. La decisione pronunciata al riguardo già allo stadio del rigetto dell'opposizione può avere un effetto definitivo unicamente per il metodo di ripartizione, non per gli importi. Viola l'art. 798 cpv. 3 CC una decisione cantonale che non si fonda sul metodo di ripartizione proporzionale, ma sull'ordine che figura in un contratto quadro di credito (consid. 4).</w:t>
      </w:r>
    </w:p>
    <w:p>
      <w:pPr>
        <w:pStyle w:val="Heading2"/>
      </w:pPr>
      <w:r>
        <w:t>Erwägungen</w:t>
      </w:r>
    </w:p>
    <w:p>
      <w:r>
        <w:rPr>
          <w:b/>
        </w:rPr>
        <w:t>E. 4.1</w:t>
      </w:r>
    </w:p>
    <w:p>
      <w:r>
        <w:t>En se faisant remettre les cédules en cause pour garantir sa créance de base, d'un montant maximum de 17'443'177 fr., la recourante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 art. 816 al. 3, 1 re phrase, CC; PAUL-HENRI STEINAUER, Les droits réels, tome III, 3 e éd. 2003, n. 2787). Cette règle est impérative et doit au besoin être appliquée d'office ( ATF 100 III 48 ). En l'espèce, elle a été respectée.</w:t>
      </w:r>
    </w:p>
    <w:p>
      <w:r>
        <w:rPr>
          <w:b/>
        </w:rPr>
        <w:t>E. 4.2</w:t>
      </w:r>
    </w:p>
    <w:p>
      <w:r>
        <w:t>En principe, la mise en gage de plusieurs immeubles pour garantir une seule créance implique une répartition de la garantie sur les divers immeubles ( art. 798 al. 2 et 3 CC ), chacun de ceux-ci ne BGE 138 III 182 S. 187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(art. 42 al. 1 de l'ordonnance du 22 février 1910 sur le registre foncier [ORF; RS 2, 514]) et, pour les cédules hypothécaires, figurer sur le titre ( art. 53 al. 3 ORF ; cf. STEINAUER, op. cit., n os 2661 s. et les références de doctrine citées à la note 52, n os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4.3</w:t>
      </w:r>
    </w:p>
    <w:p>
      <w:r>
        <w:t>La recourante était autorisée par la convention de crédit-cadre (ch. 17.2) et l'acte de transfert de propriété à fin de garantie (ch. 4) BGE 138 III 182 S. 188 à décider seule de l'ordre prioritaire dans lequel créances et titres seraient amortis ou réalisés, dès lors et au besoin en dérogeant au système légal en cas de pluralité de gages (droit dispositif; cf. STEINAUER, op. cit., n. 2668 s.; DAVID DÜRR, in Commentaire zurichois, n os 145, 148 ss ad art. 798 CC ; TRAUFFER/SCHMID-TSCHIRREN, in Commentaire bâlois, Zivilgesetzbuch, vol. II, 4 e éd. 2011, n° 19 ad art. 798 CC ). Or, une manifestation de volonté de sa part fait défaut à cet égard. Cela étant, l' art. 798 al. 3 CC s'applique.</w:t>
      </w:r>
    </w:p>
    <w:p>
      <w:r>
        <w:rPr>
          <w:b/>
        </w:rPr>
        <w:t>E. 4.4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os 2669 s.), la répartition donne les résultats suivants pour les immeubles objet des poursuites parallèles en cause: parcelle C v V c 261 14'087'480 x (8'100'000/ 18'424'300) = 6'193'374.40 940 14'087'480 x (2'500'000/ 18'424'300) = 1'911'535.30 198 14'087'480 x (3'200'000/ 18'424'300) = 2'446'765.20 200 14'087'480 x (400'000 / 18'424'300) = 305'845.60 834/839 14'087'480 x (205'000/ 18'424'300) = 156'745.90 835/841 14'087'480 x (219'300/ 18'424'300) = 167'679.90 1205 14'087'480 x (3'800'000/ 18'424'300) = 2'905'533.70 14'087'480.00 Dans la poursuite en réalisation de gage immobilier visée par le présent recours, la décision attaquée a accordé la mainlevée provisoire à concurrence de 287'480 fr. plus intérêt à 5 %, taux applicable à la créance causale. La recourante demande qu'elle le soit à hauteur de 400'000 fr. plus intérêt à 8 % comme en première instance et l'intimé, qu'elle soit refusée en totalité. Il résulte de la répartition ci-dessus que la mainlevée provisoire doit être accordée à concurrence de 305'845 fr. 60. Quant aux intérêts, soit ceux de la créance cédulaire en poursuite, l'acte de transfert de propriété à fin de garantie des cédules hypothécaires prévoit, sous chiffre 2, que "le/les preneur(s) de crédit reconnaît/reconnaissent ainsi devoir à B. le montant nominal BGE 138 III 182 S. 189 de chaque titre hypothécaire ainsi que - sans égard à d'éventuelles clauses contraires figurant dans les titres - les intérêts courants et les intérêts échus de trois années au taux de 10 % l'an, aux échéances des 30 juin et 31 décembre". Le Tribunal fédéral ne pouvant aller au-delà des conclusions des parties ( art. 107 al. 1 LTF ), le taux qu'il y a lieu d'appliquer pour les intérêts de trois années est donc celui de 8 % ( ATF 136 III 288 consid. 3.2; 4A_451/2009 du 25 février 2010 consid. 5). Il s'ensuit que le recours doit être partiellement admis, la décision attaquée étant réformée dans le sens précité, et rejeté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