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123</w:t>
      </w:r>
    </w:p>
    <w:p>
      <w:r>
        <w:t>Bundesgericht (BGE), 2011-12-21, DE</w:t>
      </w:r>
    </w:p>
    <w:p>
      <w:r>
        <w:rPr>
          <w:b/>
        </w:rPr>
        <w:t xml:space="preserve">Quelle: </w:t>
      </w:r>
      <w:r>
        <w:t>https://mcp.opencaselaw.ch/entscheid/bge_BGE_138_III_123</w:t>
      </w:r>
    </w:p>
    <w:p>
      <w:r>
        <w:t>FR: ATF 138 III 123</w:t>
      </w:r>
    </w:p>
    <w:p>
      <w:r>
        <w:t>IT: DTF 138 III 123</w:t>
      </w:r>
    </w:p>
    <w:p>
      <w:pPr>
        <w:pStyle w:val="Heading2"/>
      </w:pPr>
      <w:r>
        <w:t>Regeste</w:t>
      </w:r>
    </w:p>
    <w:p>
      <w:r>
        <w:t>Regeste Art. 257 Abs. 1 ZPO; Rechtsschutz in klaren Fällen; klare Rechtslage, Zeugenbeweis. Eine klare Rechtslage im Sinne von Art. 257 Abs. 1 lit. b ZPO setzt voraus, dass die Rechtsanwendung zu einem eindeutigen Ergebnis führt. Dies trifft in der Regel nicht zu, wenn die Anwendung einer Norm einen Ermessens- oder Billigkeitsentscheid erfordert (E. 2.1.2). Im vorliegenden Fall wurde eine klare Rechtslage verneint, da die Beantwortung der Frage, ob die Geltendmachung eines Formmangels gegen das Rechtsmissbrauchsverbot verstiess, eine wertende Betrachtung der gesamten Umständen erforderte und nicht von einem eindeutigen Ergebnis ausgegangen werden konnte (E. 2.5). Die umstrittene Frage der Zulässigkeit des Zeugenbeweises beim Rechtsschutz in klaren Fällen wurde offengelassen (E. 2.1.1 und 2.6).</w:t>
      </w:r>
    </w:p>
    <w:p>
      <w:r>
        <w:t>Regeste Art. 257 al. 1 CPC; cas clairs; situation juridique claire, preuve testimoniale. Une situation juridique claire au sens de l'art. 257 al. 1 let. b CPC suppose que l'application du droit conduise à un résultat sans ambiguïté. Ce n'est en règle générale pas le cas si l'application d'une norme exige une décision en équité ou relève de l'appréciation (consid. 2.1.2). Dans le cas présent, l'existence d'une situation juridique claire a été niée, la question de savoir si l'invocation d'un vice de forme était constitutive d'un abus de droit exigeant une prise en considération de l'ensemble des circonstances et ne pouvant conduire à un résultat sans ambiguïté (consid. 2.5). La question controversée de l'admissibilité de la preuve testimoniale aux cas clairs a été laissée ouverte (consid. 2.1.1 et 2.6).</w:t>
      </w:r>
    </w:p>
    <w:p>
      <w:r>
        <w:t>Regesto Art. 257 cpv. 1 CPC; tutela giurisdizionale in casi manifesti; situazione giuridica chiara, prova testimoniale. Una situazione giuridica chiara nel senso dell'art. 257 cpv. 1 lett. b CPC presuppone che l'applicazione del diritto conduca a un risultato univoco. Ciò non accade di regola se l'applicazione di una norma richiede una decisione fondata sull'apprezzamento o sull'equità (consid. 2.1.2). L'esistenza di una situazione giuridica chiara è stata negata in concreto, poiché la risposta al quesito di sapere se l'invocazione di un vizio di forma costituisse un abuso di diritto necessitava di una valutazione di tutte le circostanze e non permetteva di ritenere che vi sarebbe stato un esito univoco (consid. 2.5). Il quesito controverso concernente l'ammissibilità di una prova testimoniale nella tutela giurisdizionale in casi manifesti è stato lasciato indeciso (consid. 2.1.1 e 2.6).</w:t>
      </w:r>
    </w:p>
    <w:p>
      <w:pPr>
        <w:pStyle w:val="Heading2"/>
      </w:pPr>
      <w:r>
        <w:t>Erwägungen</w:t>
      </w:r>
    </w:p>
    <w:p>
      <w:r>
        <w:rPr>
          <w:b/>
        </w:rPr>
        <w:t>E. 2.1</w:t>
      </w:r>
    </w:p>
    <w:p>
      <w:r>
        <w:t>Als Nachfolgeinstitut des so genannten "Befehlsverfahrens", wie es verschiedene Kantone kannten, hat der Gesetzgeber in Art. 257 der Schweizerischen Zivilprozessordnung vom 19. Dezember 2008 (ZPO; SR 272) den "Rechtsschutz in klaren Fällen" als besonderes Summarverfahren vorgesehen (Botschaft vom 28. Juni 2006 zur ZPO, BBl 2006 7351 Ziff. 5.18). Dieses Verfahren setzt gemäss Art. 257 Abs. 1 ZPO voraus, dass der Sachverhalt unbestritten oder sofort beweisbar (lit. a) und die Rechtslage klar ist (lit. b). Fehlt eine dieser beiden Voraussetzungen, ist auf das Gesuch um Gewährung des Rechtsschutzes in klaren Fällen nicht einzutreten ( Art. 257 Abs. 3 ZPO ).</w:t>
      </w:r>
    </w:p>
    <w:p>
      <w:r>
        <w:rPr>
          <w:b/>
        </w:rPr>
        <w:t>E. 2.1.1</w:t>
      </w:r>
    </w:p>
    <w:p>
      <w:r>
        <w:t>Ein klarer Fall setzt demnach zum einen voraus, dass der Sachverhalt unbestritten oder sofort beweisbar ist ( Art. 257 Abs. 1 lit. a ZPO ). In der Botschaft zur Schweizerischen Zivilprozessordnung wird dazu dem Sinne nach ausgeführt, ein bestrittener Sachverhalt sei nur dann sofort beweisbar bzw. liquid, wenn er durch Urkunden oder allenfalls einen Augenschein an einem mitgebrachten Objekt bewiesen werden könne. Dagegen fielen Beweise durch Expertisen, Zeugen- sowie auch Parteiaussagen grundsätzlich ausser Betracht, da im Zweifel die Angelegenheit in einem einlässlichen Prozess auszutragen sei (BBl 2006 7352 Ziff. 5.18). Diese Beweismittelbeschränkung wird von einem Teil der Lehre befürwortet (TARKAN GÖKSU, in: Schweizerische Zivilprozessordnung, Kommentar, Alexander Brunner und andere [Hrsg.], 2010, N. 8 zu Art. 257 ZPO , der die sofortige Beweisbarkeit bei einer anspruchsvollen Beweiswürdigung verneint; SUTTER-SOMM/LÖTSCHER, in: Kommentar zur Schweizerischen Zivilprozessordnung, Sutter-Somm und andere [Hrsg.], 2010, N. 5 BGE 138 III 123 S. 126 zu Art. 257 ZPO ; FRANO KOSLAR, in: Schweizerische Zivilprozessordnung, Baker &amp; McKenzie [Hrsg.], 2010, N. 10 ff. zu Art. 257 ZPO ). Dagegen vertritt ein anderer Teil der Lehre die Meinung, für den Rechtsschutz in klaren Fällen sei die für das summarische Verfahren allgemein geltende Regelung gemäss Art. 254 ZPO anwendbar, die neben Urkunden andere Beweismittel zulasse, wenn diese das Verfahren nicht wesentlich verzögern ( Art. 254 Abs. 2 lit. a ZPO ). Dies treffe bei der Einvernahme von direkt zur angezeigten mündlichen Verhandlung mitgebrachten Zeugen zu (DIETER HOFMANN, in: Basler Kommentar, ZPO, 2010, N. 13 zu Art. 257 ZPO ; FRANÇOIS BOHNET, in: Code de procédure civile commenté, François Bohnet und andere [Hrsg.], 2011, N. 11 zu Art. 257 ZPO ; vgl. auch STAEHELIN/STAEHELIN/GROLIMUND, Zivilprozessrecht, 2008, § 21 Rz. 54 S. 357; INGRID JENT-SØRENSEN, in: ZPO, Schweizerische Zivilprozessordnung, Paul Oberhammer [Hrsg.], 2010, N. 12 zu Art. 257 ZPO ).</w:t>
      </w:r>
    </w:p>
    <w:p>
      <w:r>
        <w:rPr>
          <w:b/>
        </w:rPr>
        <w:t>E. 2.1.2</w:t>
      </w:r>
    </w:p>
    <w:p>
      <w:r>
        <w:t>Zum anderen setzt ein klarer Fall voraus, dass die Rechtslage klar ist ( Art. 257 Abs. 1 lit. b ZPO ). Dies trifft zu, wenn sich die Rechtsfolge bei der Anwendung des Gesetzes unter Berücksichtigung der Lehre und Rechtsprechung ohne Weiteres ergibt und damit die Rechtsanwendung zu einem eindeutigen Ergebnis führt (Botschaft zur ZPO, BBl 2006 7352 Ziff. 5.18; vgl. auch BGE 118 II 302 E. 3 S. 304). Dagegen ist die Rechtslage in der Regel nicht klar, wenn die Anwendung einer Norm einen Ermessens- oder Billigkeitsentscheid des Gerichts mit wertender Berücksichtigung der gesamten Umstände erfordert, wie dies namentlich bei der Beurteilung von Treu und Glauben zutrifft (HOFMANN, a.a.O., N. 11 zu Art. 257 ZPO ; SUTTER-SOMM/LÖTSCHER, a.a.O., N. 11 zu Art. 257 ZGB ; KOSLAR, a.a.O., N. 14 zu Art. 257 ZPO ; GÖKSU, a.a.O., N. 11 zu Art. 257 ZPO ; JENT-SØRENSEN, a.a.O., N. 7 zu Art. 257 ZPO ; vgl. auch: BOHNET, a.a.O., N. 14 zu Art. 257 ZPO ).</w:t>
      </w:r>
    </w:p>
    <w:p>
      <w:r>
        <w:rPr>
          <w:b/>
        </w:rPr>
        <w:t>E. 2.2</w:t>
      </w:r>
    </w:p>
    <w:p>
      <w:r>
        <w:t>Die Vorinstanz folgte der Lehrmeinung, wonach beim Rechtsschutz in klaren Fällen Zeugenbefragungen grundsätzlich ausgeschlossen sind. Sie kam zum Ergebnis, die Liquidität bzw. sofortige Beweisbarkeit des Sachverhalts fehle in Bezug auf die bestrittene Behauptung der Beschwerdeführerin, ihr Buchhalter habe den Beschwerdegegner am 13. März 2010 auf das Fehlen der Unterschrift auf dem ihm übergebenen Schreiben vom 18. Februar 2010 hingewiesen, zumal die erste Instanz insoweit eine eingehende Würdigung der Zeugenaussage und eine Abwägung gegen die Angaben des Beschwerdegegners habe vornehmen müssen. Zur BGE 138 III 123 S. 127 Rechtserheblichkeit dieser Behauptung erwog die Vorinstanz, das Optionsrecht sei zufolge der hierfür vereinbarten Schriftform mangels Unterzeichnung des streitgegenständlichen Schreibens vom 18. Februar 2010 nicht formgültig ausgeübt worden. Indessen sei auch der Beschwerdeführerin klar gewesen, dass der Beschwerdegegner die Verlängerungsoption vorbehaltlos habe ausüben wollen, nachdem dieser das Schreiben nicht nur rechtzeitig, sondern sogar höchstpersönlich am 13. März 2010 ins Büro der Beschwerdeführerin gebracht und G. übergeben habe. Dass der Beschwerdegegner die Restauranträumlichkeiten für weitere drei Jahre habe mieten wollen, sei ihr somit bekannt gewesen, und sie habe auch das Fehlen der Unterschrift ohne Weiteres erkennen können. Ihre Berufung darauf und damit auf die Nichtausübung der Verlängerungsoption im Rahmen des rund ein Jahr nach Erhalt des genannten Schreibens gestellten Ausweisungsbegehrens erscheine vor diesem Hintergrund grundsätzlich als Verstoss gegen das Rechtsmissbrauchsverbot. Anders verhielte es sich allerdings, wenn die Beschwerdeführerin den Beschwerdegegner auf die fehlende Unterschrift aufmerksam gemacht hätte. Diesfalls könnte ihr keine Verletzung des Gebots des Handelns nach Treu und Glauben vorgeworfen werden, und es hätte im Risikobereich des Beschwerdegegners gelegen, den Formfehler fristgerecht zu beheben.</w:t>
      </w:r>
    </w:p>
    <w:p>
      <w:r>
        <w:rPr>
          <w:b/>
        </w:rPr>
        <w:t>E. 2.3</w:t>
      </w:r>
    </w:p>
    <w:p>
      <w:r>
        <w:t>Die Beschwerdeführerin rügt, diese Argumentation verletze Art. 2 ZGB , da keine Umstände vorlägen, welche ihre Berufung auf die Ungültigkeit der Optionsausübung als offenbar rechtsmissbräuchlich erscheinen lasse. Dass sie aus dem nicht unterzeichneten Schreiben vom 18. Februar 2010 habe erkennen können, dass der Beschwerdegegner sein Verlängerungsrecht habe geltend machen wollen, spiele keine Rolle, da keine Partei verpflichtet sei, den Vertragspartner auf formelle Fehler hinzuweisen. So sei gemäss der Rechtsprechung des Bundesgerichts ( BGE 121 III 156 E. 1c/bb) ein Mieter bei formnichtiger oder unwirksamer Kündigung weder zur Anfechtung der Kündigung noch zu einer sonstigen Reaktion verpflichtet, sondern dürfe schweigen und die Ungültigkeit oder Unwirksamkeit der Kündigung erst im Ausweisungsverfahren geltend machen.</w:t>
      </w:r>
    </w:p>
    <w:p>
      <w:r>
        <w:rPr>
          <w:b/>
        </w:rPr>
        <w:t>E. 2.4.1</w:t>
      </w:r>
    </w:p>
    <w:p>
      <w:r>
        <w:t>Ein Vertrag, für den die schriftliche Form vorgeschrieben ist, muss die Unterschrift aller Personen tragen, die durch ihn verpflichtet werden sollen ( Art. 13 Abs. 1 OR ). Die Anbringung der Unterschrift dient dazu, die Person des Erklärenden zu identifizieren und BGE 138 III 123 S. 128 den festgehaltenen Inhalt anzuerkennen ( BGE 119 III 4 E. 3 S. 6 mit Hinweisen). Nach Art. 16 Abs. 1 OR wird vermutet, dass die Parteien eines an keine gesetzliche Form gebundenen Vertrages, welche die Anwendung einer Form vereinbart haben, vor Erfüllung der Form nicht verpflichtet sein wollen. Diese Vermutung kann durch den Beweis widerlegt werden, dass die Parteien die Form bloss zu Beweiszwecken vereinbart haben (vgl. BGE 112 II 326 E. 3). Die Vermutung gemäss Art. 16 Abs. 1 OR bezweckt den Schutz der Partei, die zum Zustandekommen einer rechtlichen Bindung eine Erklärung abzugeben hat. Es wird zu ihrem Schutz vermutet, sie wolle an ihre Willenserklärung nur gebunden sein, wenn sie schriftlich erfolgt. Dieser Grundsatz gilt nach Lehre und Rechtsprechung auch für die Fälle, in denen jemand ein vertraglich eingeräumtes Gestaltungsrecht ausübt, z.B. einen Vertrag kündigt oder von ihm zurücktritt. Ist für eine Gestaltungserklärung, mit der ein Erklärender ein Rechtsverhältnis umformt, die Schriftlichkeit vereinbart, so ist zu vermuten, dass der Erklärende die sich daraus ergebenden Verpflichtungen und Verzichte erst auf sich nehmen will, wenn er seinen Willen in der vorbehaltenen Form geäussert hat ( BGE 95 II 43 E. 2a S. 46 f. mit Hinweisen; vgl. auch INGEBORG SCHWENZER, in: Basler Kommentar, OR, Bd. I, 5. Aufl. 2011, N. 8 zu Art. 16 OR ).</w:t>
      </w:r>
    </w:p>
    <w:p>
      <w:r>
        <w:rPr>
          <w:b/>
        </w:rPr>
        <w:t>E. 2.4.2</w:t>
      </w:r>
    </w:p>
    <w:p>
      <w:r>
        <w:t>Das Bundesgericht hält die Berufung auf die Formungültigkeit eines Vertrages für unstatthaft, wenn sie - etwa wegen widersprüchlichen Verhaltens - gegen Treu und Glauben verstösst und damit einen offenbaren Rechtsmissbrauch gemäss Art. 2 Abs. 2 ZGB darstellt. Ob dies zutrifft, hat das Gericht in Würdigung aller Umstände des konkreten Falles zu prüfen, wobei namentlich das Verhalten der Parteien bei und nach Abschluss des Vertrags zu würdigen ist ( BGE 116 II 700 E. 3b; BGE 112 II 107 E. 3b S. 111 f., BGE 112 II 330 E. 2a S. 333 f.; vgl. auch BGE 127 III 506 E. 4a S. 513). Zu berücksichtigen ist auch, ob der Schutzzweck einer Formvorschrift bezüglich der Partei verletzt wurde, die sich auf den Formmangel beruft ( BGE 112 II 330 E. 3b S. 336 f. mit Hinweisen). Zwar darf nach der Rechtsprechung des Bundesgerichts der Mieter nach dem Erhalt einer unwirksamen Kündigung schweigen und sich nachträglich auf deren Unwirksamkeit berufen. Er handelt jedoch rechtsmissbräuchlich, wenn er durch sein Schweigen bei seinem Vertragspartner den Eindruck erweckt, er anerkenne die Gültigkeit der Kündigung ( BGE 121 III 156 E. 1c/bb S. 161 f. mit Hinweis). BGE 138 III 123 S. 129</w:t>
      </w:r>
    </w:p>
    <w:p>
      <w:r>
        <w:rPr>
          <w:b/>
        </w:rPr>
        <w:t>E. 2.5</w:t>
      </w:r>
    </w:p>
    <w:p>
      <w:r>
        <w:t>Die Beschwerdeführerin wirft mit ihrer Rüge der Verletzung von Art. 2 ZGB die Frage auf, ob bezüglich der Anwendung dieser Norm die Voraussetzung der klaren Rechtslage im Sinne von Art. 257 Abs. 1 lit. b ZPO gegeben ist. Dabei ist zu beachten, dass bei der Prüfung der Rechtsfrage, ob die Berufung der Beschwerdeführerin auf die fehlende Unterschrift auf dem Schreiben des Beschwerdegegners betreffend die Vertragsverlängerung rechtsmissbräuchlich ist, nicht nur die Geschehnisse bei Übergabe dieses Schreibens, sondern auch das darauf folgende Verhalten der Parteien berücksichtigt werden müsste. Selbst wenn davon ausgegangen würde, der Buchhalter der Beschwerdeführerin habe den Beschwerdegegner bei der Übergabe dieses Schreibens auf die fehlende Unterschrift aufmerksam gemacht, müsste somit geklärt werden, ob die Beschwerdeführerin durch das nachträgliche Zuwarten oder ihr sonstiges Verhalten beim Beschwerdegegner den berechtigten Eindruck erweckte, die Vertragsverlängerung zu anerkennen. Insoweit wäre auch seine Behauptung zu prüfen, wonach die Parteien nach Ablauf der Optionsfrist über die Miete zusätzlicher Räume für Hochzeitsanlässe diskutiert hätten. Weiter müsste untersucht werden, ob der Schutzzweck des Erfordernisses der Unterschrift in Bezug auf die Beschwerdeführerin nicht bereits dadurch erreicht wurde, dass für sie aufgrund der persönlichen Übergabe des Schreibens die Zuordnung zum Beschwerdegegner und seine Anerkennung der Erklärung der Vertragsverlängerung ohne Weiteres erkennbar war (vgl. E. 2.4.1 hiervor). Demnach erfordert die Rechtsanwendung im vorliegenden Fall auch dann, wenn von der Sachverhaltsdarstellung der Beschwerdeführerin ausgegangen würde, eine wertende Betrachtung der gesamten Umstände, ohne dass von einem eindeutigen Ergebnis gesprochen werden kann. Damit ist die Voraussetzung der klaren Rechtslage gemäss Art. 257 Abs. 1 lit. b ZPO offensichtlich nicht erfüllt (vgl. E. 2.1.2 hiervor).</w:t>
      </w:r>
    </w:p>
    <w:p>
      <w:r>
        <w:rPr>
          <w:b/>
        </w:rPr>
        <w:t>E. 2.6</w:t>
      </w:r>
    </w:p>
    <w:p>
      <w:r>
        <w:t>Die Vorinstanz hat daher bereits aus diesem Grund kein Bundesrecht verletzt, wenn sie den Rechtsschutz in klaren Fällen verweigerte. Daraus folgt, dass ihre Verneinung der liquiden tatsächlichen Verhältnisse im Sinne von Art. 257 Abs. 1 lit. a ZPO nicht entscheiderheblich ist, weshalb auf die dagegen gerichtete Kritik der Beschwerdeführerin nicht einzutreten ist und eine Auseinandersetzung mit der Frage der Zulässigkeit des Zeugenbeweises unterbleiben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