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43</w:t>
      </w:r>
    </w:p>
    <w:p>
      <w:r>
        <w:t>Bundesgericht (BGE), 2011-01-19, DE</w:t>
      </w:r>
    </w:p>
    <w:p>
      <w:r>
        <w:rPr>
          <w:b/>
        </w:rPr>
        <w:t xml:space="preserve">Quelle: </w:t>
      </w:r>
      <w:r>
        <w:t>https://mcp.opencaselaw.ch/entscheid/bge_BGE_137_V_43</w:t>
      </w:r>
    </w:p>
    <w:p>
      <w:r>
        <w:t>FR: ATF 137 V 43</w:t>
      </w:r>
    </w:p>
    <w:p>
      <w:r>
        <w:t>IT: DTF 137 V 43</w:t>
      </w:r>
    </w:p>
    <w:p>
      <w:pPr>
        <w:pStyle w:val="Heading2"/>
      </w:pPr>
      <w:r>
        <w:t>Regeste</w:t>
      </w:r>
    </w:p>
    <w:p>
      <w:r>
        <w:t>Regeste Art. 56 KVG; Wirtschaftlichkeit der Behandlung. Die Rechtsprechung gemäss BGE 130 V 377 ist dahingehend zu ändern, dass von der Rückerstattungspflicht nach Art. 56 Abs. 2 KVG nur die direkten Kosten des Arztes (einschliesslich der von ihm abgegebenen Medikamente) erfasst werden (E. 2.5.1-2.5.5). Der Ausschluss der veranlassten Kosten von der Rückerstattung ändert nichts daran, dass die Frage, ob das Wirtschaftlichkeitserfordernis erfüllt ist, aufgrund einer Gesamtbetrachtung im Sinne der mit BGE 133 V 37 begründeten Rechtsprechung zu beantworten ist und ein hoher Anteil an selber erbrachten statt ausgelagerten Leistungen zumindest im Sinne einer Praxisbesonderheit zu berücksichtigen ist (E. 2.5.6).</w:t>
      </w:r>
    </w:p>
    <w:p>
      <w:r>
        <w:t>Regeste Art. 56 LAMal; économicité du traitement. La jurisprudence publiée aux ATF 130 V 377 doit être modifiée, en ce sens que l'obligation de restitution fondée sur l'art. 56 al. 2 LAMal ne peut englober que les coûts directement liés à la pratique du médecin (y compris les médicaments délivrés par lui; consid. 2.5.1-2.5.5). L'exclusion des coûts indirects de l'obligation de restitution ne modifie en rien la pratique selon laquelle l'examen du caractère économique de la pratique médicale doit se faire sur la base d'une vision d'ensemble, au sens de la jurisprudence publiée aux ATF 133 V 37 , et qu'une part plus importante que la moyenne de prestations directement délivrées par le médecin par rapport aux prestations déléguées peut s'expliquer par une pratique médicale spécifique pouvant justifier des surcoûts (consid. 2.5.6).</w:t>
      </w:r>
    </w:p>
    <w:p>
      <w:r>
        <w:t>Regesto Art. 56 LAMal; economicità del trattamento. La giurisprudenza pubblicata in DTF 130 V 377 dev'essere modificata nel senso che l'obbligo di restituzione ai sensi dell'art. 56 cpv. 2 LAMal comprende soltanto le spese generate direttamente dal medico (inclusi i farmaci da lui forniti; consid. 2.5.1-2.5.5). L'esclusione dall'obbligo di restituzione delle spese indirette non modifica nulla al fatto che l'adempimento del principio di economicità dipende da una valutazione complessiva ai sensi della giurisprudenza sviluppata in DTF 133 V 37 e che una quota elevata di prestazioni direttamente fornite anziché delegate va presa in considerazione quantomeno nel senso di una specificità dell'attività (consid. 2.5.6).</w:t>
      </w:r>
    </w:p>
    <w:p>
      <w:pPr>
        <w:pStyle w:val="Heading2"/>
      </w:pPr>
      <w:r>
        <w:t>Erwägungen</w:t>
      </w:r>
    </w:p>
    <w:p>
      <w:r>
        <w:rPr>
          <w:b/>
        </w:rPr>
        <w:t>E. 2.1</w:t>
      </w:r>
    </w:p>
    <w:p>
      <w:r>
        <w:t>Gemäss Art. 56 KVG muss sich der Leistungserbringer in seinen Leistungen auf das Mass beschränken, das im Interesse der BGE 137 V 43 S. 45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2.2</w:t>
      </w:r>
    </w:p>
    <w:p>
      <w:r>
        <w:t>Bei der im zu beurteilenden Fall für die Überprüfung der Wirtschaftlichkeit der ärztlichen Tätigkeit nach Art. 56 KVG angewendeten Methode des Durchschnittskostenvergleichs (vgl. dazu Urteil des Eidg. Versicherungsgerichts K 6/06 vom 9. Oktober 2006 E. 4.1, nicht publ. in: BGE 133 V 37 , aber in: SVR 2007 KV Nr. 5 S. 19; BGE 119 V 448 E. 4d S. 454 f.) ist rechtsprechungsgemäss keine Kontrolle aller Positionen sämtlicher Rechnungen durchzuführen, sondern kann sich die Prüfung vielmehr darauf beschränken, dass die durchschnittlichen Behandlungskosten des betreffenden Arztes oder der betreffenden Ärztin mit denjenigen anderer Ärzte unter ähnlichen Bedingungen verglichen werden, wobei die kürzlich formulierten Kriterien bezüglich Transparenz beachtet werden müssen ( BGE 136 V 415 ).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(Urteil K 6/06 vom 9. Oktober 2006 E. 4.1, nicht publ. in: BGE 133 V 37 , aber in: SVR 2007 KV Nr. 5 S. 19; BGE 119 V 448 E. 4b S. 453 f.; GEBHARD EUGSTER, Bundesgesetz über die Krankenversicherung [KVG], 2010, N. 12 und 17 zu Art. 56 KVG ). BGE 137 V 43 S. 46</w:t>
      </w:r>
    </w:p>
    <w:p>
      <w:r>
        <w:rPr>
          <w:b/>
        </w:rPr>
        <w:t>E. 2.3</w:t>
      </w:r>
    </w:p>
    <w:p>
      <w:r>
        <w:t>Das Wirtschaftlichkeitsgebot erstreckt sich nach der Rechtsprechung - wie bereits unter dem Geltungsbereich von Art. 23 des bis 31. Dezember 1995 in Kraft gestandenen KUVG (RKUV 2003 S. 216, K 9/00 E. 6.4; Urteil des Eidg. Versicherungsgerichts K 50/00 vom 30. Juli 2001 E. 6b am Anfang) - auf sämtliche Teile der ärztlichen Behandlung und findet auf alle gesetzlichen Leistungen ( Art. 25 Abs. 2 KVG ) Anwendung, insbesondere auch auf die Verordnung von Arzneimitteln, Analysen sowie Mitteln und Gegenständen oder die Anordnung von Leistungen anderer Leistungserbringer gemäss Art. 35 Abs. 2 lit. e-g KVG ( BGE 130 V 377 E. 7.4 und 7.5 S. 379 f.). Gestützt auf Art. 23 KUVG , dessen Ziel die Verwirklichung oder Wiederherstellung des gesetzlichen Zustandes gewesen war (E. 7.2 S. 378) und dessen Wesensgehalt Art. 56 KVG unverändert übernommen hat (E. 7.4 S. 379), hatte das Eidg. Versicherungsgericht in BGE 130 V 377 E. 7.5 S. 380 erkannt, dass bei der Wirtschaftlichkeitsprüfung auch die veranlassten Kosten zu berücksichtigen sind, und zwar sowohl bei der Bestimmung der Indizes im Rahmen der statistischen Methode als auch bei der Bemessung der Rückerstattungspflicht. Aus dem mit BGE 130 V 377 begründeten Einbezug der veranlassten Kosten in die Wirtschaftlichkeitskontrolle hat das Eidg. Versicherungsgericht in BGE 133 V 37 schliesslich - in Änderung seiner bisherigen Praxis - gefolgert, dass grundsätzlich eine Gesamtbetrachtung erforderlich und dementsprechend auf den die Arzt- und die Medikamentenkosten und - soweit möglich - die veranlassten Kosten berücksichtigenden Gesamtkostenindex abzustellen ist (vgl. dazu auch HANSPETER KUHN, Es gilt [endlich] die Gesamtkostenbetrachtung, Schweizerische Ärztezeitung [SÄZ] 2006 S. 2165 f.; SIMON HAEFELI, Ruinöse Unrechtsprechung, Jusletter vom 18. August 2008, Rz. 42 ff. [auch erschienen in: Zeitschrift für Gesundheitsrecht (SZG) 2009 Nr. 12 S. 55 ff.]; UELI KIESER, Urteilsbesprechung, AJP 2007 S. 514 f.).</w:t>
      </w:r>
    </w:p>
    <w:p>
      <w:r>
        <w:rPr>
          <w:b/>
        </w:rPr>
        <w:t>E. 2.4</w:t>
      </w:r>
    </w:p>
    <w:p>
      <w:r>
        <w:t>In der Lehre (MONIKA GATTIKER, Veranlasste Kosten - Einbezug in die Forderungen wegen Überarztung nach Art. 56 Abs. 2 KVG , AJP 2005 S. 1098 ff. [Zusammenfassung: SÄZ 2005 S. 2244 ff.]; EDOUARD ISELIN, Polypragmasie et étendue de l'obligation de restitution au sens de l'art. 56 al. 2 LAMal, SZS 2006 S. 106 ff.; HAEFELI, a.a.O., Rz. 39 ff.; GEBHARD EUGSTER, Überarztung aus juristischer Sicht [Überarztung], in: Rechtsfragen zum Krankheitsbegriff, Gächter/Schwendener [Hrsg.], 2009, S. 97 ff., 132 ff.; ders. , KVG, a.a.O., BGE 137 V 43 S. 47 N. 30 zu Art. 56 KVG ) wurde kritisiert, die Rechtsprechung gemäss BGE 130 V 377 widerspreche dem in Art. 5 Abs. 1 BV statuierten Legalitätsprinzip. Die Bestimmung des Art. 56 Abs. 2 KVG stelle, insbesondere unter Berücksichtigung der Tatsache, dass es sich um einen schweren Eingriff in die Wirtschaftsfreiheit handle, keine genügende Rechtsgrundlage für die Rückforderung veranlasster Kosten dar (GATTIKER, a.a.O., S. 1102 ff.; ISELIN, a.a.O., S. 117 ff.; EUGSTER, Überarztung, a.a.O., S. 132 ff.; vgl. auch dens. , Wirtschaftlichkeitskontrolle ambulanter ärztlicher Leistungen mit statistischen Methoden [Wirtschaftlichkeitskontrolle], 2003, S. 285 f. Rz. 842 f.; CHRISTIAN SCHÜRER, Honorarrückforderungen wegen Überarztung bei ambulanter ärztlicher Behandlung - Materiellrechtliche Aspekte, in: Wirtschaftlichkeitskontrolle in der Krankenversicherung, Schaffhauser/Kieser [Hrsg.], 2001, S. 89 f. Rz. 37). Eine Auslegung der Norm insbesondere unter grammatikalischen und historischen Gesichtspunkten spreche gegen den Einbezug der veranlassten Kosten (GATTIKER, a.a.O., S. 1103 ff.; ISELIN, a.a.O., S. 117 ff.).</w:t>
      </w:r>
    </w:p>
    <w:p>
      <w:r>
        <w:rPr>
          <w:b/>
        </w:rPr>
        <w:t>E. 2.5</w:t>
      </w:r>
    </w:p>
    <w:p>
      <w:r>
        <w:t>Angesichts der ihr in der Lehre erwachsenen Kritik drängt sich eine Überprüfung der Rechtsprechung gemäss BGE 130 V 377 auf.</w:t>
      </w:r>
    </w:p>
    <w:p>
      <w:r>
        <w:rPr>
          <w:b/>
        </w:rPr>
        <w:t>E. 2.5.1</w:t>
      </w:r>
    </w:p>
    <w:p>
      <w:r>
        <w:t>Der Ausgangspunkt der Auslegung bildende ( BGE 134 III 273 E. 4 S. 277) Wortlaut des Art. 56 Abs. 2 Satz 2 KVG , wonach eine dem Leistungserbringer zu Unrecht bezahlte Vergütung zurückgefordert werden kann ("Le fournisseur de prestations peut être tenu de restituer les sommes reçues à tort [...]", "Al fornitore di prestazioni può essere richiesta la restituzione di rimunerazioni [...] ottenute indebitamente."), besagt in allen drei Amtssprachen, dass nur vom Verpflichteten eingenommene Vergütungen zurückbezahlt werden müssen (GATTIKER, a.a.O., S. 1104; ISELIN, a.a.O., S. 119).</w:t>
      </w:r>
    </w:p>
    <w:p>
      <w:r>
        <w:rPr>
          <w:b/>
        </w:rPr>
        <w:t>E. 2.5.2</w:t>
      </w:r>
    </w:p>
    <w:p>
      <w:r>
        <w:t>Auch in den Materialien (Botschaft vom 6. November 1991 über die Revision der Krankenversicherung, BBl 1992 I 114 Ziff. 141, 118 f. Ziff. 142) ist stets nur von Rückforderung die Rede und fehlt jegliche Bezugnahme auf die veranlassten Kosten. Die entsprechende Bestimmung des Entwurfs (Art. 48 Abs. 2, heutiger Art. 56 Abs. 2 KVG ) wurde in den parlamentarischen Kommissionen nicht geändert und fand im Parlament ohne weiteres Zustimmung (AB 1992 S 1322; AB 1993 N 1871), was möglicherweise nicht der Fall gewesen wäre, wenn die Absicht bestanden hätte, die veranlassten Kosten einzubeziehen (ISELIN, a.a.O., S. 119). Beim Erlass der Bestimmung betonte der Gesetzgeber die Parallelen zu Art. 23 KUVG (BBl 1992 BGE 137 V 43 S. 48 I 189 f. Ziff. 3 ad Art. 48 E-KVG), welche Bestimmung die Leistungserbringer indessen nur zu wirtschaftlichem Handeln verpflichtete und den Krankenversicherer zur Verweigerung der Leistung ermächtigte, eine Rückforderung bereits erbrachter Leistungen aber nicht vorsah. In der Rechtsprechung zu Art. 23 KUVG wurde hiefür die Bestimmung des Art. 47 Abs. 1 AHVG (in Kraft bis 31. Dezember 2002) analog angewendet (RKUV 2003 S. 216, K 9/00 E. 6.4), welche Bestimmung allerdings nur die Wiederherstellung der gesetzlichen Ordnung im Falle einer ungerechtfertigten Bereicherung regelte (ULRICH MEYER-BLASER, Die Rückerstattung von Sozialversicherungsleistungen, ZBJV 131/1995 S. 477 ff., mit dem Hinweis, dass die Tatbestandselemente der Bereicherung und ihrer Grundlosigkeit mit Art. 62 OR vergleichbar waren). Aus diesem Grunde wurde der Einbezug veranlasster Kosten auch unter dem alten Recht verschiedentlich kritisiert (EUGSTER, Überarztung, a.a.O., S. 133 Rz. 105 f.; GATTIKER, a.a.O., S. 1105). Beizufügen bleibt, dass auch die Art. 47 Abs. 1 AHVG ablösende Bestimmung des Art. 25 ATSG (SR 830.1) für die Bestimmung der Rückerstattungspflichtigen auf den Empfang der Leistung abstellt (vgl. dazu UELI KIESER, ATSG-Kommentar, 2. Aufl. 2009, N. 15 ff. zu Art. 25 ATSG ).</w:t>
      </w:r>
    </w:p>
    <w:p>
      <w:r>
        <w:rPr>
          <w:b/>
        </w:rPr>
        <w:t>E. 2.5.3</w:t>
      </w:r>
    </w:p>
    <w:p>
      <w:r>
        <w:t>Gesetzessystematisch steht die Bestimmung des Art. 56 KVG unter dem Titel "Kontrolle der Wirtschaftlichkeit und der Qualität der Leistungen", ebenso wie die grosse Ähnlichkeit mit ihr aufweisende Bestimmung des Art. 59 Abs. 1 lit. b KVG (in der seit 1. Januar 2005 in Kraft stehenden Fassung). In letzterer ist ebenfalls nur von einer (gänzlichen oder teilweisen) Rückerstattung der Honorare, welche für nicht angemessene Leistungen bezogen wurden, die Rede, was den Einbezug veranlasster Kosten ausschliesst (so auch ISELIN, a.a.O., S. 120; vgl. auch Botschaft vom 26. Mai 2004 zur Änderung des Bundesgesetzes über die Krankenversicherung [Vertragsfreiheit],BBl 2004 4315).</w:t>
      </w:r>
    </w:p>
    <w:p>
      <w:r>
        <w:rPr>
          <w:b/>
        </w:rPr>
        <w:t>E. 2.5.4</w:t>
      </w:r>
    </w:p>
    <w:p>
      <w:r>
        <w:t>Einzig das teleologische Auslegungselement könnte für das gegenteilige Ergebnis angeführt werden, weil der Einbezug der veranlassten Kosten in die Rückforderung den mit der Einführung des KVG angestrebten Zielen der Wirtschaftlichkeit und der Kosteneindämmung (BBl 1992 I 126 ff. Ziff. 22 und S. 158 f. ad Art. 26 E-KVG) dienen würde (kritisch dazu: GATTIKER, a.a.O., S. 1105 f.) und die Bestimmung des Art. 56 Abs. 2 KVG die Wiederherstellung des gesetzmässigen Zustandes im Falle eines Verstosses gegen das Wirtschaftlichkeitsgebot bezweckt (so schon RKUV 2003 S. 216, K 9/00 BGE 137 V 43 S. 49 E. 6.4, kritisiert bei EUGSTER, Überarztung, a.a.O., S. 133 Rz. 106). Indessen können diese Ziele auch mit den in Art. 59 Abs. 1 lit. a, c und d KVG vorgesehenen Massnahmen erreicht werden. Nachdem sämtliche anderen Auslegungselemente, insbesondere der Ausgangspunkt jeder Gesetzesauslegung bildende Wortlaut ( BGE 134 III 273 E. 4 S. 277), in dieselbe Richtung weisen, verbietet es sich, Sinn und Zweck der Norm für eine vom Wortlaut abweichende Auslegung heranzuziehen.</w:t>
      </w:r>
    </w:p>
    <w:p>
      <w:r>
        <w:rPr>
          <w:b/>
        </w:rPr>
        <w:t>E. 2.5.5</w:t>
      </w:r>
    </w:p>
    <w:p>
      <w:r>
        <w:t>Diese neu gewonnenen Erkenntnisse zum Verständnis von Art. 56 Abs. 2 KVG stellen - wie hiefür vorausgesetzt ( BGE 135 II 78 E. 3.2 S. 85; BGE 135 III 66 E. 10 S. 79; BGE 134 V 72 E. 3.3 S. 76) - gewichtige und ernsthafte sachliche Gründe dar, die Rechtsprechung gemäss BGE 130 V 377 dahingehend zu ändern, dass von der Rückerstattungspflicht nach Art. 56 Abs. 2 KVG nur die direkten Kosten des Arztes (einschliesslich der von ihm abgegebenen Medikamente) erfasst werden.</w:t>
      </w:r>
    </w:p>
    <w:p>
      <w:r>
        <w:rPr>
          <w:b/>
        </w:rPr>
        <w:t>E. 2.5.6</w:t>
      </w:r>
    </w:p>
    <w:p>
      <w:r>
        <w:t>Der Ausschluss der veranlassten Kosten von der Rückerstattung ändert nichts daran, dass die Frage, ob das Wirtschaftlichkeitserfordernis erfüllt ist, aufgrund einer Gesamtbetrachtung gemäss der mit BGE 133 V 37 begründeten Rechtsprechung zu beantworten ist. Denn im Sinne des Wirtschaftlichkeitsgebots handelt auch derjenige Arzt, welcher zwar überdurchschnittliche direkte, aber unterdurchschnittliche veranlasste und damit durchschnittliche oder möglicherweise sogar unterdurchschnittliche gesamthafte (direkte und veranlasste) Kosten verursacht, weil er viele Behandlungen selber durchführt, welche andere Ärzte an Dritte auslagern würden ( BGE 133 V 37 E. 5.3.3 S. 40; vgl. auch MATHIAS WENGER, Die Angst des Arztes vor der Polypragmasie, in: Medizin und Sozialversicherung im Gespräch, Schaffhauser/Schlauri [Hrsg.], 2006, S. 74). Aus diesem Grunde ist der hohe Anteil an selber erbrachten statt ausgelagerten Leistungen zumindest im Sinne einer Praxisbesonderheit zu berücksichtigen.</w:t>
      </w:r>
    </w:p>
    <w:p>
      <w:r>
        <w:rPr>
          <w:b/>
        </w:rPr>
        <w:t>E. 3.1</w:t>
      </w:r>
    </w:p>
    <w:p>
      <w:r>
        <w:t>Die Rechnungssteller-Statistik der santésuisse vom 28. Juli 2005 weist für den Beschwerdeführer im Jahr 2004 bei den nach geänderter Rechtsprechung für die Rückerstattung massgebenden direkten Kosten (unter Einbezug der vom Arzt abgegebenen Medikamente) einen Index von 122 aus (Index der veranlassten Kosten: 240; Gesamtkostenindex: 151). Unter Berücksichtigung der dem BGE 137 V 43 S. 50 Beschwerdeführer zugestandenen Praxisbesonderheit des hohen Ausländeranteils und des ihm gewährten (maximalen) Toleranzbereichs von 130 Indexpunkten liegt keine Verletzung des Wirtschaftlichkeitsgebots vor. Eine Rückerstattungspflicht des Beschwerdeführers ist demnach zu verneinen.</w:t>
      </w:r>
    </w:p>
    <w:p>
      <w:r>
        <w:rPr>
          <w:b/>
        </w:rPr>
        <w:t>E. 3.2</w:t>
      </w:r>
    </w:p>
    <w:p>
      <w:r>
        <w:t>Zum selben Ergebnis würde man gelangen, wenn mit der Vorinstanz auf den (vom Beschwerdeführer kritisierten) Anova-Index abgestellt würde. Denn der Anova-Index der direkten Kosten (welcher allerdings - anders als der bis anhin verwendete Index der Rechnungssteller-Statistik der santésuisse - die vom Arzt direkt abgegebenen Medikamente nicht erfasst [die selbstdispensierten und die vom Arzt veranlassten Medikamente ergeben zusammen den Anova-Index der Medikamentenkosten]) ist zwar mit 128 Indexpunkten leicht höher als der in der Rechnungssteller-Statistik der santésuisse angegebene Wert, liegt aber noch immer im Toleranzbereich.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