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282</w:t>
      </w:r>
    </w:p>
    <w:p>
      <w:r>
        <w:t>Bundesgericht (BGE), 1996-04-10, DE</w:t>
      </w:r>
    </w:p>
    <w:p>
      <w:r>
        <w:rPr>
          <w:b/>
        </w:rPr>
        <w:t xml:space="preserve">Quelle: </w:t>
      </w:r>
      <w:r>
        <w:t>https://mcp.opencaselaw.ch/entscheid/bge_BGE_137_V_282</w:t>
      </w:r>
    </w:p>
    <w:p>
      <w:r>
        <w:t>FR: ATF 137 V 282</w:t>
      </w:r>
    </w:p>
    <w:p>
      <w:r>
        <w:t>IT: DTF 137 V 282</w:t>
      </w:r>
    </w:p>
    <w:p>
      <w:pPr>
        <w:pStyle w:val="Heading2"/>
      </w:pPr>
      <w:r>
        <w:t>Regeste</w:t>
      </w:r>
    </w:p>
    <w:p>
      <w:r>
        <w:t>Regeste Art. 34 Ziff. 1 des Abkommens vom 10. April 1996 zwischen der Schweizerischen Eidgenossenschaft und der Republik Slowenien über Soziale Sicherheit; Art. 107 Abs. 6 Verordnung (EWG) 574/72; Art. 20 Abs. 1 Satz 1 VFV (in der bis 31. Dezember 2007 in Kraft gewesenen Fassung). Weder das Abkommens- (E. 3.1) noch das Gemeinschafts- (E. 3.2-3.7) oder das innerstaatliche Recht (E. 3.8) enthalten eine direkt anwendbare Regel zur Frage, in welcher Währung die AHV-Altersrente einer in ihrem Heimatland Slowenien wohnenden Versicherten auszuzahlen ist. Es rechtfertigt sich die analoge Anwendung von Art. 20 Abs. 1 Satz 1 VFV (E. 3.9 und 3.10). Beabsichtigt die Schweizerische Ausgleichskasse, die Altersrente der (in ihrer Heimat Slowenien wohnhaften) Versicherten nicht wie bis anhin in Schweizer Franken, sondern neu in Euro auszuzahlen, müssen die Voraussetzungen für eine Praxisänderung erfüllt sein (E. 4).</w:t>
      </w:r>
    </w:p>
    <w:p>
      <w:r>
        <w:t>Regeste Art. 34 ch. 1 de la Convention de sécurité sociale du 10 avril 1996 entre la Confédération suisse et la République de Slovénie; art. 107 par. 6 du Règlement (CEE) 574/72; art. 20 al. 1, 1 re phrase, OAF (dans sa teneur en vigueur jusqu'au 31 décembre 2007). Ni le droit conventionnel (consid. 3.1), ni le droit communautaire (consid. 3.2-3.7), ni le droit interne (consid. 3.8) ne contiennent de norme directement applicable déterminant la monnaie dans laquelle une rente de vieillesse de l'AVS doit être versée à une ressortissante slovène qui réside en Slovénie. Il y a lieu d'appliquer par analogie l'art. 20 al. 1, 1 re phrase, OAF (consid. 3.9 et 3.10). En tant que la Caisse suisse de compensation envisage désormais de verser la rente de vieillesse de l'assurée (résidente en Slovénie) en euros plutôt qu'en francs suisses, il faut que les conditions d'un changement de pratique soient remplies (consid. 4).</w:t>
      </w:r>
    </w:p>
    <w:p>
      <w:r>
        <w:t>Regesto Art. 34 n. 1 della Convenzione di sicurezza sociale del 10 aprile 1996 tra la Confederazione Svizzera e la Repubblica di Slovenia; art. 107 n. 6 del Regolamento (CEE) 574/72; art. 20 cpv. 1 prima frase OAF (nella sua versione in vigore fino al 31 dicembre 2007). Né il diritto convenzionale (consid. 3.1), né quello comunitario (consid. 3.2- 3.7) e neppure quello interno (consid. 3.8) contengono una norma direttamente applicabile regolante la questione di sapere in quale valuta debba essere versata la rendita di vecchiaia AVS spettante a un'assicurata slovena residente nel suo paese d'origine. Si giustifica l'applicazione per analogia dell'art. 20 cpv. 1 prima frase OAF (consid. 3.9 e 3.10). Se la Cassa svizzera di compensazione intende, d'ora in poi, versare la rendita di vecchiaia all'assicurata slovena (residente nel suo paese d'origine) non più, come finora, in franchi svizzeri, bensì in euro, devono essere adempiute le condizioni per una modifica della prassi (consid. 4).</w:t>
      </w:r>
    </w:p>
    <w:p>
      <w:pPr>
        <w:pStyle w:val="Heading2"/>
      </w:pPr>
      <w:r>
        <w:t>Erwägungen</w:t>
      </w:r>
    </w:p>
    <w:p>
      <w:r>
        <w:rPr>
          <w:b/>
        </w:rPr>
        <w:t>E. 3.1</w:t>
      </w:r>
    </w:p>
    <w:p>
      <w:r>
        <w:t>Am 1. August 1997 ist das Abkommen vom 10. April 1996 zwischen der Schweizerischen Eidgenossenschaft und der Republik Slowenien über Soziale Sicherheit (SR 0.831.109.691.1) in Kraft getreten. Gemäss Art. 34 dieses Abkommens werden die Träger, die nach diesem Abkommen Leistungen zu erbringen haben, durch Zahlung in ihrer Landeswährung von ihrer Verpflichtung befreit (Ziff. 1). Hat ein Träger des einen Vertragsstaates an einen Träger des anderen Vertragsstaates Zahlungen vorzunehmen, so sind diese in der Währung des zweiten Vertragsstaates zu leisten (Ziff. 2).</w:t>
      </w:r>
    </w:p>
    <w:p>
      <w:r>
        <w:rPr>
          <w:b/>
        </w:rPr>
        <w:t>E. 3.2</w:t>
      </w:r>
    </w:p>
    <w:p>
      <w:r>
        <w:t>Seit 1. April 2006 (vgl. Protokoll vom 26. Oktober 2004 zum Abkommen zwischen der Schweizerischen Eidgenossenschaft einerseits und der Europäischen Gemeinschaft und ihren Mitgliedstaaten andererseits über die Freizügigkeit im Hinblick auf die Aufnahme von neuen Mitgliedstaaten als Vertragsparteien infolge ihres Beitritts zur Europäischen Union; AS 2006 995) ist die Republik Slowenien Vertragspartei des Abkommens vom 21. Juni 1999 zwischen der Schweizerischen Eidgenossenschaft einerseits und der Europäischen Gemeinschaft und ihren Mitgliedstaaten andererseits über die BGE 137 V 282 S. 285 Freizügigkeit (Freizügigkeitsabkommen, FZA; SR 0.142.112.681). Das Freizügigkeitsabkommen setzt die verschiedenen bis dahin geltenden bilateralen Abkommen zwischen der Schweizerischen Eidgenossenschaft und den einzelnen Mitgliedstaaten der Europäischen Union insoweit aus, als darin derselbe Sachbereich geregelt wird ( Art. 20 FZA ). Anwendbar sind damit primär das FZA, die Verordnung (EWG) Nr. 1408/71 des Rates vom 14. Juni 1971 zur Anwendung der Systeme der sozialen Sicherheit auf Arbeitnehmer und Selbstständige sowie deren Familienangehörige, die innerhalb der Gemeinschaft zu- und abwandern (SR 0.831.109.268.1; nachfolgend: Verordnung 1408/71), sowie die Verordnung (EWG) Nr. 574/72 des Rates vom 21. März 1972 über die Durchführung der Verordnung (EWG) Nr. 1408/71 (SR 0.831.109.268.11; nachfolgend: Verordnung 574/72; vgl. auch Art. 153a Abs. 1 Bst. a AHVG).</w:t>
      </w:r>
    </w:p>
    <w:p>
      <w:r>
        <w:rPr>
          <w:b/>
        </w:rPr>
        <w:t>E. 3.3</w:t>
      </w:r>
    </w:p>
    <w:p>
      <w:r>
        <w:t>Unter Vorbehalt der gemeinschafts- bzw. abkommensrechtlichen Vorgaben sind die Ausgestaltung des Verfahrens, die Prüfung der Anspruchsvoraussetzungen und die Berechnung der schweizerischen Altersrente Sache des innerstaatlichen Rechts (vgl. BGE 131 V 209 E. 5.3 S. 214; BGE 130 V 51 ; SVR 2004 AHV Nr. 16 S. 49, H 39/03; vgl. auch SVR 2006 ALV Nr. 24 S. 82, C 290/03 E. 1.2).</w:t>
      </w:r>
    </w:p>
    <w:p>
      <w:r>
        <w:rPr>
          <w:b/>
        </w:rPr>
        <w:t>E. 3.4</w:t>
      </w:r>
    </w:p>
    <w:p>
      <w:r>
        <w:t>Gemäss Art. 2 FZA in Verbindung mit Art. 3 Verordnung 1408/71 haben Personen, die im Gebiet eines Mitgliedstaates wohnen und für die diese Verordnung gilt, die gleichen Rechte und Pflichten aufgrund der Rechtsvorschriften eines Mitgliedstaates wie die Staatsangehörigen dieses Staates, soweit besondere Bestimmungen dieser Verordnung nichts anderes vorsehen.</w:t>
      </w:r>
    </w:p>
    <w:p>
      <w:r>
        <w:rPr>
          <w:b/>
        </w:rPr>
        <w:t>E. 3.5</w:t>
      </w:r>
    </w:p>
    <w:p>
      <w:r>
        <w:t>Art. 88 Verordnung 1408/71 bestimmt, dass Geldüberweisungen gegebenenfalls auf Grund dieser Verordnung nach Massgabe der Vereinbarungen vorgenommen werden, die in diesem Bereich zwischen den beteiligen Mitgliedstaaten zum Zeitpunkt der Überweisung gelten. Bestehen keine solchen Vereinbarungen zwischen zwei Mitgliedstaaten, vereinbaren die zuständigen Behörden dieser Staaten oder die für den internationalen Zahlungsverkehr zuständigen Behörden die zur Durchführung dieser Überweisung erforderlichen Massnahmen. Nach Art. 89 Verordnung 1408/71 sind die Besonderheiten bei der Anwendung der Rechtsvorschriften bestimmter Mitgliedstaaten im BGE 137 V 282 S. 286 Anhang VI aufgeführt. Betreffend Slowenien existieren keine derartigen besonderen Bestimmungen (Bst. W Anhang VI). Die Verordnung 1408/71 enthält somit keine Regelungen betreffend die Zahlung der Altersrente von der Schweiz nach Slowenien.</w:t>
      </w:r>
    </w:p>
    <w:p>
      <w:r>
        <w:rPr>
          <w:b/>
        </w:rPr>
        <w:t>E. 3.6</w:t>
      </w:r>
    </w:p>
    <w:p>
      <w:r>
        <w:t>Die Verordnung 574/72 enthält verschiedene, hier einschlägige Bestimmungen.</w:t>
      </w:r>
    </w:p>
    <w:p>
      <w:r>
        <w:rPr>
          <w:b/>
        </w:rPr>
        <w:t>E. 3.6.1</w:t>
      </w:r>
    </w:p>
    <w:p>
      <w:r>
        <w:t>Art. 53 Verordnung 574/72 sieht vor: (1) Zahlt der leistungspflichtige Träger eines Mitgliedstaats den Berechtigten, die im Gebiet eines anderen Mitgliedstaats wohnen, die ihnen geschuldeten Leistungen nicht unmittelbar, so erfolgt die Zahlung dieser Leistungen auf Verlangen des leistungspflichtigen Trägers durch die Verbindungsstelle des letztgenannten Staates oder durch den Träger des Wohnorts dieser Berechtigten nach Massgabe der Artikel 54 bis 58 der Durchführungsverordnung; zahlt der leistungspflichtige Träger die Leistungen an die Berechtigten unmittelbar, so teilt er dem Träger des Wohnorts dies mit. Die Zahlungsweise der Träger der Mitgliedstaaten ist in Anhang 6 aufgeführt. (2) Zwei oder mehr Mitgliedstaaten oder die zuständigen Behörden dieser Mitgliedstaaten können in den Fällen, in denen nur die zuständigen Träger dieser Mitgliedstaaten beteiligt sind, andere Verfahren für die Zahlung dieser Leistungen vereinbaren. Solche Vereinbarungen sind der Verwaltungskommission mitzuteilen. (3) Die am Tag vor dem Inkrafttreten der Verordnung geltenden Abkommensbestimmungen über die Zahlung der Leistungen gelten weiter, soweit sie in Anhang 5 aufgeführt sind. Anhang 5 (am Ende) ist für die Schweiz als gegenstandslos erklärt, weshalb Abs. 3 von Art. 53 Verordnung 574/72 keine Anwendung findet. Nach Bst. W Anhang 6 werden die laufenden Zahlungen nach Slowenien unmittelbar vorgenommen. Art. 54 bis 56 Verordnung 574/72 betreffen die nicht unmittelbare Zahlung und kommen vorliegend somit ebenfalls nicht zur Anwendung. Aufgrund der Aktenlage ist davon auszugehen, dass die SAK als zuständige schweizerische Behörde keine besondere Vereinbarung gemäss Abs. 2 von Art. 53 Verordnung 574/72 mit der zuständigen slowenischen Behörde abgeschlossen hat, um ein anderes Verfahren für die Zahlung der Leistungen zu regeln. Demnach regeln die genannten Bestimmungen für den vorliegenden Fall einzig, dass die Rente der Beschwerdeführerin direkt auszurichten ist.</w:t>
      </w:r>
    </w:p>
    <w:p>
      <w:r>
        <w:rPr>
          <w:b/>
        </w:rPr>
        <w:t>E. 3.6.2</w:t>
      </w:r>
    </w:p>
    <w:p>
      <w:r>
        <w:t>Art. 107 Verordnung 574/72 normiert die Währungsumrechnung wie folgt: BGE 137 V 282 S. 287 (1) Zur Durchführung der folgenden Vorschriften: a) Verordnung: Artikel 12 Absätze 2, 3 und 4, Artikel 14d Absatz 1, Artikel 19 Absatz 1 Buchstabe b) letzter Satz, Artikel 22 Absatz 1 Ziffer ii) letzter Satz, Artikel 25 Absatz 1 Buchstabe b) vorletzter Satz, Artikel 41 Absatz 1 Buchstaben c) und d), Artikel 46 Absatz 4, Artikel 46a Absatz 3, Artikel 50, Artikel 52 Buchstabe b) letzter Satz, Artikel 55 Absatz 1 Ziffer ii) letzter Satz, Artikel 70 Absatz 1 Unterabsatz 1, Artikel 71 Absatz 1 Buchstabe a) Ziffer ii) und Buchstabe b) Ziffer ii) vorletzter Satz, b) Durchführungsverordnung: Artikel 34 Absätze 1, 4 und 5 wird für die Umrechnung von auf eine Währung lautenden Beträgen in eine andere Währung der von der Kommission errechnete Kurs verwendet, der sich auf das monatliche Mittel der von der Europäischen Zentralbank veröffentlichten Referenzwechselkurse der Währungen während des in Absatz 2 bestimmten Bezugszeitraums stützt. (2) Bezugszeitraum ist - der Monat Januar für die ab dem darauffolgenden 1. April anzuwendenden Umrechnungskurse, - der Monat April für die ab dem darauffolgenden 1. Juli anzuwendenden Umrechnungskurse, - der Monat Juli für die ab dem darauffolgenden 1. Oktober anzuwendenden Umrechnungskurse, - der Monat Oktober für die ab dem darauffolgenden 1. Januar anzuwendenden Umrechnungskurse. (3) ... (4) Die Verwaltungskommission setzt auf Vorschlag des Rechnungsausschusses den Zeitpunkt fest, der bei der Festlegung der in den Fällen nach Absatz 1 anzuwendenden Umrechnungskurse zu berücksichtigen ist. (5) Die in den von Absatz 1 erfassten Fällen anzuwendenden Umrechnungskurse werden im vorletzten Monat vor dem Monatsersten, ab dem sie anzuwenden sind, im Amtsblatt der Europäischen Gemeinschaften veröffentlicht. (6) In den von Absatz 1 nicht erfassten Fällen erfolgt die Umrechnung sowohl bei Leistungszahlung als auch bei Erstattung zum am Tag der Zahlung geltenden amtlichen Wechselkurs. Von den in Abs. 1 Bst. a erwähnten Bestimmungen der Verordnung 1408/71 beschlagen die sich auf die Altersrenten beziehenden Normen der Art. 46 Abs. 4, Art. 46a Abs. 3 und Art. 50 nicht den vorliegend zu beurteilenden Sachverhalt. Die in Abs. 1 Bst. b erwähnten Bestimmungen der Verordnung 574/72 betreffen nicht die Altersrenten und damit ebenfalls nicht den zu beurteilenden Sachverhalt. BGE 137 V 282 S. 288 In der Folge kommt Art. 107 Abs. 6 Verordnung 574/72 zur Anwendung, wonach die Leistungszahlung zum am Tag der Zahlung geltenden amtlichen Wechselkurs erfolgt. Dabei wird in der Rechtsprechung des Gerichtshofes der Europäischen Gemeinschaften (vgl. Urteile des EuGH vom 1. Oktober 1992 C-201/91 Grisvard und Kreitz , Slg. 1992 I-5009; vom 5. Mai 1983 238/81 Raad van Arbeid gegen Van der Bunt-Craig , Slg. 1983 S. 1385; vom 14. Mai 1981 98/80 Romano gegen Institut national d'assurance maladie-invalidité , Slg. 1981 S. 1241) stillschweigend vorausgesetzt, dass die Auszahlung in der Währung des Wohnsitzstaates erfolgt (vgl. auch Beschluss Nr. 139 vom 30. Juni 1989 der Verwaltungskommission der Europäischen Gemeinschaften für die Soziale Sicherheit der Wanderarbeitnehmer, ABl. C 94 vom 12. April 1990 S. 3).</w:t>
      </w:r>
    </w:p>
    <w:p>
      <w:r>
        <w:rPr>
          <w:b/>
        </w:rPr>
        <w:t>E. 3.7</w:t>
      </w:r>
    </w:p>
    <w:p>
      <w:r>
        <w:t>Zusammenfassend ergibt sich, dass die Rente der Beschwerdeführerin aufgrund des FZA und seiner Ausführungsverordnungen vom schweizerischen Versicherungsträger direkt (Art. 53 Verordnung 574/72 und Bst. W Anhang 6) und zwar zum am Tag der Zahlung geltenden amtlichen Wechselkurs auszurichten ist (Art. 107 Abs. 6 Verordnung 574/72). Damit ist nichts darüber gesagt, in welcher Währung die Altersrente zu bezahlen ist. Die Rechtsanwendung in der Europäischen Union spricht jedoch dafür, dass die Auszahlung in der Währung des Wohnsitzstaates erfolgt.</w:t>
      </w:r>
    </w:p>
    <w:p>
      <w:r>
        <w:rPr>
          <w:b/>
        </w:rPr>
        <w:t>E. 3.8</w:t>
      </w:r>
    </w:p>
    <w:p>
      <w:r>
        <w:t>Im schweizerischen Recht findet sich (ebenfalls) keine direkt anwendbare Regel zur Frage, in welcher Währung die Altersrente auszuzahlen ist. Nach den zutreffenden Ausführungen im angefochtenen Entscheid enthalten weder das ATSG (SR 830.1) noch die AHVV (SR 831.101) einschlägige Bestimmungen: Nach Art. 19 ATSG werden die periodischen Geldleistungen in der Regel monatlich bezahlt (Abs. 1). Renten werden stets für den ganzen Kalendermonat im Voraus ausbezahlt (Abs. 3 Satz 1). Gemäss Art. 72 AHVV erteilen die Ausgleichskassen die Zahlungsaufträge der Post oder der Bank rechtzeitig, so dass die Auszahlung bis zum 20. Tag des Monats erfolgen kann. Als Nachweis der Auszahlung der Rente oder Hilflosenentschädigung gelten kasseninterne Auszahlungslisten und Belastungsanzeigen der Schweizerischen Post oder der Bank ( Art. 73 AHVV ). In organisatorischer Hinsicht wird in Art. 113 AHVV geregelt, dass unter der Bezeichnung "Schweizerische Ausgleichskasse" im Rahmen der Zentralen Ausgleichsstelle eine besondere Ausgleichskasse BGE 137 V 282 S. 289 errichtet wird, der insbesondere die Durchführung der freiwilligen Versicherung und der ihr durch zwischenstaatliche Vereinbarungen zugewiesenen Aufgaben obliegt (Abs. 1). Das Kassenreglement wird vom Eidgenössischen Finanzdepartement (EFD) in Einvernehmen mit dem Eidgenössischen Departement für auswärtige Angelegenheiten und dem Departement des Innern erlassen (Abs. 2). Bezüglich der Auszahlung von Renten im Ausland hält Art. 123 Abs. 1 AHVV fest, dass die im Ausland wohnenden Rentenberechtigten die Rente durch die Schweizerische Ausgleichskasse erhalten. Der Zahlungsverkehr der Ausgleichskassen ist soweit möglich über ein Post- oder Bankkonto abzuwickeln ( Art. 147 Abs. 1 AHVV ). Auch dem Kassenreglement ( Art. 113 Abs. 2 AHVV ; Verordnung des EFD vom 3. Dezember 2008 über die Zentrale Ausgleichsstelle [ZAS-Verordnung]; SR 831.143.32) lässt sich nicht entnehmen, in welcher Währung ins Ausland zu leisten ist.</w:t>
      </w:r>
    </w:p>
    <w:p>
      <w:r>
        <w:rPr>
          <w:b/>
        </w:rPr>
        <w:t>E. 3.9</w:t>
      </w:r>
    </w:p>
    <w:p>
      <w:r>
        <w:t>Für den Bereich der Erwerbsersatzentschädigung bestimmt demgegenüber Art. 22 Abs. 2 EOV (SR 834.11) ausdrücklich, dass die Auszahlung der Entschädigung für Personen, die im Ausland wohnen, in der Währung des Wohnsitzstaates erfolgt. Die SAK selber stützt sich auf eine sinngemässe Anwendung des Art. 20 Abs. 1 Satz 1 der Verordnung vom 26. Mai 1961 über die freiwillige Alters-, Hinterlassenen- und Invalidenversicherung (VFV; SR 831.111) in der bis 31. Dezember 2007 in Kraft gewesenen Fassung, wonach Renten und Taggelder an Berechtigte im Ausland direkt durch die Ausgleichskasse, die Auslandsvertretung oder den AHV/IV-Dienst in der Währung des Wohnsitzstaates ausgerichtet werden. Die seit 1. Januar 2008 gültige Fassung hat in Bezug auf den vorliegend zu beurteilenden Fall keine bedeutende Änderung erfahren: Renten und Taggelder an Berechtigte im Ausland werden direkt durch die Ausgleichskasse in der Währung des Wohnsitzstaates ausgerichtet ( Art. 20 Satz 1 VFV ).</w:t>
      </w:r>
    </w:p>
    <w:p>
      <w:r>
        <w:rPr>
          <w:b/>
        </w:rPr>
        <w:t>E. 3.9.1</w:t>
      </w:r>
    </w:p>
    <w:p>
      <w:r>
        <w:t>Art. 22 Abs. 2 EOV ist vom Inhalt her keine Neuerung, die erst mit der Neufassung der EOV vom 24. November 2004, in Kraft seit 1. Juli 2005, eingeführt worden ist. Er hat seinen Ursprung in der Entschädigungsberechtigung von Auslandschweizern, die in ihrem Heimatland Militärdienst, Zivildienst oder Zivilschutzdienst leisten (vgl. Art. 22 EOV in der bis Ende Juni 2004 gültig gewesenen Fassung, der den Titel "Festsetzung und Auszahlung der Entschädigung für Auslandschweizer" trägt). Die Einführung des Erwerbsersatzes BGE 137 V 282 S. 290 bei Mutterschaft per 1. Juli 2005 machte eine neutralere und allgemeinere Formulierung erforderlich. So handelt Art. 22 EOV nur noch schlicht von der "Entschädigung für Personen im Ausland". Der (anfängliche) Hintergrund ging dadurch nicht verloren. Es ist lediglich ein neuer Zweck dazugekommen (vgl. PASCAL MAHON, Le régime des allocations pour perte de gain, in: Soziale Sicherheit, SBVR Bd. XIV, 2. Aufl. 2007, S. 1923 Rz. 12).</w:t>
      </w:r>
    </w:p>
    <w:p>
      <w:r>
        <w:rPr>
          <w:b/>
        </w:rPr>
        <w:t>E. 3.9.2</w:t>
      </w:r>
    </w:p>
    <w:p>
      <w:r>
        <w:t>Die Möglichkeit der freiwilligen Versicherungsunterstellung stand früher ausschliesslich Auslandschweizern offen. Der Abschluss des Freizügigkeitsabkommens mündete sodann in eine teilweise ausdehnende, im Wesentlichen aber einschränkende Umschreibung des Kreises der beitrittsberechtigten Personen (UELI KIESER, Alters- und Hinterlassenenversicherung, in: Soziale Sicherheit, SBVR Bd. XIV, 2. Aufl. 2007, S. 1222 f. Rz. 70; MARIE-PIERRE CARDINAUX, La révision de l'assurance facultative des Suisses de l'étranger, in: Les assurances sociales en révision, Bettina Kahil-Wolf [Hrsg.], 2002, S. 39; CARDINAUX, La révision de l'assurance facultative des Suisses de l'étranger entre en vigueur en 2001, Soziale Sicherheit [CHSS] 2000 S. 324 f.; AHI 2001 S. 13 ff., insbesondere S. 22 f.).</w:t>
      </w:r>
    </w:p>
    <w:p>
      <w:r>
        <w:rPr>
          <w:b/>
        </w:rPr>
        <w:t>E. 3.9.3</w:t>
      </w:r>
    </w:p>
    <w:p>
      <w:r>
        <w:t>Dass sowohl Art. 22 Abs. 2 EOV als auch Art. 20 Abs. 1 Satz 1 VFV die Modalitäten, vor allem die Währung, für Auszahlungen ins Ausland ausdrücklich festlegen, hängt nach dem Gesagten unmittelbar mit dem Regelungsinhalt zusammen, welcher hauptsächlich oder zumindest initial auf den Status des Auslandschweizers bezogen war und ist. Der Alters- und Hinterlassenenversicherung unterstehen dagegen - seit jeher - in erster Linie natürliche Personen in der Schweiz, unabhängig ihres Bürgerrechts ( Art. 1a Abs. 1 lit. a und b AHVG ; vgl. auch KIESER, a.a.O., S. 1209 Rz. 38). Aus dem Umstand, dass in der AHVV "nur" die Zuständigkeit für die Rentenfestsetzung und -auszahlung im In- und Ausland normiert ist ( Art. 122 ff. AHVV ; vgl. E. 3.8), lässt sich daher nicht folgern, der Verordnungsgeber habe die Ausrichtung der Renten an Bezüger im Ausland in der Währung des Wohnsitzstaates ausschliessen wollen.</w:t>
      </w:r>
    </w:p>
    <w:p>
      <w:r>
        <w:rPr>
          <w:b/>
        </w:rPr>
        <w:t>E. 3.10</w:t>
      </w:r>
    </w:p>
    <w:p>
      <w:r>
        <w:t>In Anbetracht der voranstehenden Ausführungen liegt die analoge Anwendung von Art. 20 (Abs. 1) Satz 1 VFV im Zusammenhang mit der Auszahlung der AHV-Rente ins Ausland auf der Hand. Zum einen ist es die SAK, der sowohl die Durchführung der freiwilligen Versicherung ( Art. 2 VFV ) als auch die Auszahlung von AHV-Renten ins Ausland obliegt (E. 3.8). Diese Zentralisierung bei der und die Konzentration auf die SAK, sobald eine Auslandberührung BGE 137 V 282 S. 291 gegeben ist, spricht für eine einheitliche Handhabe. Zum andern ist die VFV, wie schon die Vorinstanz festgehalten hat, zur Konkretisierung der hier einschlägigen Bestimmungen der Verordnung 574/72 (E. 3.6) geeignet. Dazu kommt, dass in der Europäischen Union die Auszahlungen offenbar regelmässig in der Währung des Wohnsitzstaates erfolgen (E. 3.7). Die Streitfrage, ob die SAK berechtigt ist, der Beschwerdeführerin die Rente in Euro auszurichten, ist somit grundsätzlich zu bejahen.</w:t>
      </w:r>
    </w:p>
    <w:p>
      <w:r>
        <w:rPr>
          <w:b/>
        </w:rPr>
        <w:t>E. 4</w:t>
      </w:r>
    </w:p>
    <w:p>
      <w:r>
        <w:t>Ein anderes Problemfeld ist, ob und inwieweit die Beschwerdegegnerin befugt war, ihre langjährige gegenteilige Praxis zu ändern. Die Versicherte erhielt die Rente immerhin seit Anspruchsbeginn im Jahre 1998 bis und mit Mai 2006 in Schweizer Franken ausbezahlt. Die Vorinstanz bejahte die Zulässigkeit der Praxisänderung implizit ab 1. Januar 2007 und liess sie in Bezug auf den Zeitraum von Juni bis Dezember 2006 ausdrücklich offen.</w:t>
      </w:r>
    </w:p>
    <w:p>
      <w:r>
        <w:rPr>
          <w:b/>
        </w:rPr>
        <w:t>E. 4.1</w:t>
      </w:r>
    </w:p>
    <w:p>
      <w:r>
        <w:t>Grundlage für die ursprüngliche Auszahlung der Rente in Schweizer Franken bildete Art. 34 Ziff. 1 des Abkommens zwischen der Schweizerischen Eidgenossenschaft und der Republik Slowenien über Soziale Sicherheit, wonach der Träger, der nach diesem Abkommen Leistungen zu erbringen hat, sich durch die Zahlung in seiner Landeswährung von seiner Verpflichtung befreit (vgl. E. 3.1). Danach (und im Unterschied zu Ziff. 2 derselben Bestimmung) stand es der Beschwerdegegnerin unter dem Abkommensrecht frei, ihre Leistungen in Schweizer Franken oder in der Währung des Wohnsitzstaates der Empfängerin zu erbringen. Von dieser ihr im Abkommen eingeräumten Befugnis, in Tolar zu zahlen, hat die Beschwerdegegnerin keinen Gebrauch gemacht. Ebenso wenig fand eine analoge Anwendung der Bestimmung des Art. 20 (Abs. 1) Satz 1 VFV, auf welche sich die Beschwerdegegnerin heute für die Leistung der Rentenbetreffnisse in der Währung des Wohnsitzstaates der Empfängerin stützt, statt. Dabei darf nicht ausser Acht gelassen werden, dass der Tolar erst im Rahmen der Unabhängigkeit von Slowenien im Jahre 1991 eingeführt worden war und es die Stabilität der Wirtschaft, insbesondere im Hinblick auf den angestrebten EU-Beitritt, noch zu beweisen galt.</w:t>
      </w:r>
    </w:p>
    <w:p>
      <w:r>
        <w:rPr>
          <w:b/>
        </w:rPr>
        <w:t>E. 4.2</w:t>
      </w:r>
    </w:p>
    <w:p>
      <w:r>
        <w:t>Eine Praxisänderung muss sich auf ernsthafte sachliche Gründe stützen können, die - vor allem im Hinblick auf das Gebot der Rechtssicherheit - umso gewichtiger sein müssen, je länger die als falsch oder nicht mehr zeitgemäss erkannte Rechtsanwendung als zutreffend erachtet worden ist. Eine Praxisänderung lässt sich nur BGE 137 V 282 S. 292 begründen, wenn die neue Lösung besserer Erkenntnis des Gesetzeszwecks, veränderten äusseren Verhältnissen oder gewandelten Rechtsanschauungen entspricht (vgl. BGE 136 III 6 E. 3 S. 8; BGE 135 I 79 E. 3 S. 82; BGE 134 V 72 E. 3.3 S. 76; BGE 132 III 770 E. 4 S. 777; BGE 127 I 49 E. 3c S. 52).</w:t>
      </w:r>
    </w:p>
    <w:p>
      <w:r>
        <w:rPr>
          <w:b/>
        </w:rPr>
        <w:t>E. 4.3</w:t>
      </w:r>
    </w:p>
    <w:p>
      <w:r>
        <w:t>Wie sich dem Schreiben der Postfinance vom Februar 2006 entnehmen lässt, hatte die SAK mit Wirkung ab Juni 2006 die Postfinance als Zahlungspartnerin bestimmt. Dieser Wechsel ist nicht zu beanstanden, da die Postfinance nach der gesetzlichen Lage eine von mehreren in Betracht fallenden Zahlungspartnerinnen ist (E. 3.8; vgl. auch Rz. 10103 und 10105 der Wegleitung des BSV über die Renten [RWL] in der Eidgenössischen Alters-, Hinterlassenen- und Invalidenversicherung, gültig ab 1. Januar 2003 [Stand 1. Januar 2006]). Mit der Umstellung vom Tolar zum Euro ab 1. Januar 2007 tat sich für die SAK ein neuer Handlungsspielraum auf: Der Eintritt von Slowenien in die Euro-Zone war ein zuverlässiges Zeichen für eine erstarkte und solide Wirtschaft. Er ermöglichte der Beschwerdegegnerin, ihre Zahlungen in den europäischen Raum weiter zu vereinheitlichen und die Massenversicherung ins Ausland, wohin gemäss Angabe der Beschwerdegegnerin fast ein Drittel der von über 2 Mio. Personen bezogenen AHV-Renten fliesst, zu rationalisieren. Es leuchtet ein, wenn die Beschwerdegegnerin geltend macht, dass eine geringere Vielfalt von Währungen den Auszahlungsablauf zu beschleunigen hilft. Zwar hat die Beschwerdeführerin während rund acht Jahren ihre AHV-Rente in Schweizer Franken ausbezahlt bekommen. Indem die Beschwerdegegnerin aber ohne Verzögerung auf die geänderten währungspolitischen Gegebenheiten in Slowenien reagiert hat, vermag sie die von ihr vorgenommene Praxisänderung, die nach dem Gesagten als sachlich und ernsthaft geboten gilt, zu rechtfertigen. Der zeitliche Ablauf allein schafft weder eine Besitzstandsgarantie noch ein wohlerworbenes Recht auf Auszahlung der AHV-Rente in Schweizer Franken. Eine gesetzliche Bestimmung, die eine solche Beziehung ein für allemal festgelegt hat, fehlt (E. 3.7 und 3.8; vgl. allgemein dazu BGE 117 V 229 E. 5b S. 235 und BGE 112 V 387 E. 3d S. 395). Dass eine entsprechende Zusicherung im Einzelfall abgegeben wurde, ist nicht aktenkundig. Etwas Gegenteiliges wird denn auch nicht vorgebracht. Mit in Betracht zu ziehen ist zudem, dass die der Umrechnung zu Grunde gelegten Beträge den ungekürzten Rentenbeträgen in Schweizer BGE 137 V 282 S. 293 Franken entsprechen. Die mit der Umrechnung einhergehenden Spesen gehen zu Lasten der SAK. Einzig die Spesen, welche die vom Leistungsempfänger gewählte Bank in Rechnung stellt, hat Letzterer zu tragen (Wegleitung des BSV zur freiwilligen Alters-, Hinterlassenen- und Invalidenversicherung [WFV], gültig ab 1. Januar 2003, Rz. 5043). Diese Spesen haben ihre Ursache nicht in der Umrechnung an und für sich, sondern sind mit der vom Leistungsempfänger grundsätzlich frei wählbaren Zahlungsadresse kausal. Es ist unbestritten, dass die Beschwerdeführerin ein Bankkonto in Slowenien als Zahlungsadresse angegeben hat. Nach Art. 20 (Abs. 1) VFV kann die SAK die Auszahlung auf ein Post- oder Bankkonto in der Schweiz oder im Wohnsitzstaat des Berechtigten grundsätzlich zulassen. Die Beschwerdeführerin verfügt demnach auch über die Möglichkeit, die Altersrente in Schweizer Franken auf einem Konto in der Schweiz entgegenzunehmen.</w:t>
      </w:r>
    </w:p>
    <w:p>
      <w:r>
        <w:rPr>
          <w:b/>
        </w:rPr>
        <w:t>E. 4.4</w:t>
      </w:r>
    </w:p>
    <w:p>
      <w:r>
        <w:t>Slowenien ist am 1. Januar 2007 der europäischen Währungsunion beigetreten. Um die Bevölkerung auf die (neuerliche) Umstellung (vgl. E. 4.1) vorzubereiten, ordnete die slowenische Regierung schon im März 2006 an, alle Preise doppelt anzuschreiben. Die doppelte Preisanschreibung diente der Vorbeugung signifikanter Preiserhöhungen. Die slowenischen Behörden und Unternehmen hatten dagegen bis zum 31. Dezember 2006 ausschliesslich den Tolar zu verwenden. Die Europäische Kommission bevorzugte für die neuen Teilnehmer am Euroraum das sogenannte "Big-Bang"-Konzept, bei dem die Euro-Banknoten und -Münzen am Tag der Umstellung auf den Euro eingeführt werden (im Falle Sloweniens am 1. Januar 2007). Zwischen dem 1. und 14. Januar 2007 befanden sich der slowenische Tolar und der Euro parallel zueinander im Umlauf. Danach wurde der Euro zum alleinigen gesetzlichen Zahlungsmittel (Mitteilung der Kommission an den Rat, das Europäische Parlament, den Europäischen Wirtschafts- und Sozialausschuss, den Ausschuss der Regionen und die Europäische Zentralbank vom 4. Mai 2007: "Die Einführung des Euro in Slowenien" [KOM (2007) 233 endgültig]).</w:t>
      </w:r>
    </w:p>
    <w:p>
      <w:r>
        <w:rPr>
          <w:b/>
        </w:rPr>
        <w:t>E. 4.5</w:t>
      </w:r>
    </w:p>
    <w:p>
      <w:r>
        <w:t>Die SAK hat die Rente bereits ab 1. Juni 2006 in Euro ausbezahlt. Die Anpassung an die neuen Verhältnisse erfolgte somit (zu) früh. Dass die Praxisänderung einer Antizipation von 7 Monaten bedurfte, kann wegen des gewählten Übergangmodus vom Tolar zum Euro und angesichts der Tatsache, dass bis zum 31. Dezember 2006 ausschliesslich Tolar zu verwenden war, nicht angenommen werden. BGE 137 V 282 S. 294 Der Euro war in Slowenien erst ab 1. Januar 2007 offizielles Zahlungsmittel und der Parallelumlauf beschränkte sich auf die ersten beiden Januarwochen im Jahr 2007.</w:t>
      </w:r>
    </w:p>
    <w:p>
      <w:r>
        <w:rPr>
          <w:b/>
        </w:rPr>
        <w:t>E. 4.6</w:t>
      </w:r>
    </w:p>
    <w:p>
      <w:r>
        <w:t>Die Praxisänderung der SAK, die AHV-Rente der Beschwerdeführerin nicht mehr in Schweizer Franken, sondern in Euro auszuzahlen, erweist sich somit erst ab 1. Januar 2007 als begründet. Für die Zeit von Juni bis Dezember 2006 ist kein Grund ersichtlich, der gewichtig genug ist, die vorzeitige Umstellung, wie sie von der Postfinance mit Schreiben vom Februar 2006 angekündigt wurde, zu rechtfertigen.</w:t>
      </w:r>
    </w:p>
    <w:p>
      <w:r>
        <w:rPr>
          <w:b/>
        </w:rPr>
        <w:t>E. 5.1</w:t>
      </w:r>
    </w:p>
    <w:p>
      <w:r>
        <w:t>Die Beschwerdeführerin bringt im Wesentlichen vor, dass sie die Rente zur Bestreitung ihrer lebensnotwendigen Existenz benötige. Der Wechselkurs, den sie in Slowenien hätte erzielen können, wäre günstiger gewesen. Zudem hätte sie, wenn ihr die Rente in Schweizer Franken ausbezahlt worden wäre, selber den günstigsten Zeitpunkt für den Umtausch aussuchen und damit einen besseren Gegenwert erzielen können. Insgesamt beziffert sie den Nachteil, der ihr wegen der Praxisänderung erwächst, auf Fr. 12.- bis Fr. 20.- pro Monat. Entsprechend ist die Nachzahlung, welche die SAK für die Zeit von Juni bis Dezember 2006 zu leisten hat, auf Fr. 140.- festzusetzen, zuzüglich 5 % Zins seit 15. September 2006 (mittlerer Verfall; vgl. Rz. 10503 ff. RWL). Aus Gründen der Prozessökonomie ist auf eine einlässliche Abklärung der vorgebrachten Behauptungen zu verzichten.</w:t>
      </w:r>
    </w:p>
    <w:p>
      <w:r>
        <w:rPr>
          <w:b/>
        </w:rPr>
        <w:t>E. 5.2</w:t>
      </w:r>
    </w:p>
    <w:p>
      <w:r>
        <w:t>Anzumerken bleibt, dass die Beschwerdeführerin die Spesen des Umtauschs in Slowenien selber zu tragen hat, während diese beim Umtausch durch die SAK zu deren Lasten gehen (E. 4.3). Ausserdem ist wenig wahrscheinlich, dass die Beschwerdeführerin stets vom besten Wechselkurs profitieren kann. Einerseits herrscht nie Gewissheit über eine bestimmte Kursentwicklung. Anderseits ist fraglich, ob die Beschwerdeführerin, die der Rentengelder massgeblich dazu bedarf, um ihren Lebensunterhalt bestreiten zu können, den günstigsten Zeitpunkt jeweils abzuwarten vermag. Damit sind grosse Zweifel angebracht, dass die Renten-Auszahlungen in Euro insgesamt mit einem finanziellen Nachteil verbunden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